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Bdr>
          <w:bottom w:val="single" w:sz="18" w:space="1" w:color="C00000"/>
        </w:pBdr>
      </w:pPr>
    </w:p>
    <w:p>
      <w:pPr>
        <w:pStyle w:val="EconomistTitle"/>
      </w:pPr>
      <w:r>
        <w:t>New Mexico’s housing push: money seeks shovel-ready projects</w:t>
      </w:r>
    </w:p>
    <w:p>
      <w:pPr>
        <w:pStyle w:val="Deck"/>
      </w:pPr>
      <w:r>
        <w:t>A rolling state RFI offers a route to housing funds through governmental partnerships—but readiness, leverage and speed will matter.</w:t>
      </w:r>
    </w:p>
    <w:p>
      <w:pPr>
        <w:spacing w:after="100"/>
      </w:pPr>
      <w:r>
        <w:rPr>
          <w:b/>
          <w:color w:val="646464"/>
          <w:sz w:val="16"/>
        </w:rPr>
        <w:t>STATE OF NEW MEXICO  |  DWS OFFICE OF HOUSING  |  RFI #26-631-1111-00041</w:t>
      </w:r>
    </w:p>
    <w:p>
      <w:r>
        <w:t xml:space="preserve">New Mexico’s Department of Workforce Solutions (DWS), Office of Housing, is looking for housing projects that can turn state appropriations into units on the ground. </w:t>
      </w:r>
      <w:r>
        <w:rPr>
          <w:b/>
        </w:rPr>
        <w:t xml:space="preserve">Issued April 24, 2026, the Request for Information seeks attainable, affordable, supportive and transitional housing projects statewide. </w:t>
      </w:r>
      <w:r>
        <w:t>New construction and renovation are eligible, and projects may range from pre-development to those already under construction. The RFI is not a conventional procurement; DWS intends to use submissions to identify projects and potentially negotiate intergovernmental agreements (IGAs) with eligible public entities.</w:t>
      </w:r>
    </w:p>
    <w:p>
      <w:pPr>
        <w:pStyle w:val="EconomistHead"/>
      </w:pPr>
      <w:r>
        <w:t>What the state wants</w:t>
      </w:r>
    </w:p>
    <w:p>
      <w:r>
        <w:t xml:space="preserve">The selection logic is straightforward: </w:t>
      </w:r>
      <w:r>
        <w:rPr>
          <w:b/>
        </w:rPr>
        <w:t>produce or preserve housing, demonstrate financial feasibility, and show that the money can be deployed on time.</w:t>
      </w:r>
      <w:r>
        <w:t xml:space="preserve"> DWS will consider the number of units, the reasonableness of the request, long-term affordability, developer and governmental capacity, and the degree to which other capital is leveraged. It will also consider geographic balance between rural and urban New Mexico and a diverse mix of housing types. Where applicable, local land-use reforms adopted or underway during the past five years—measures that make housing easier, more predictable and less costly to build—will strengthen a response.</w:t>
      </w:r>
    </w:p>
    <w:p>
      <w:pPr>
        <w:pStyle w:val="EconomistHead"/>
      </w:pPr>
      <w:r>
        <w:t>Who can participate</w:t>
      </w:r>
    </w:p>
    <w:p>
      <w:r>
        <w:t xml:space="preserve">Eligible respondents include counties, municipalities, governmental housing authorities, educational institutions, Tribes, Pueblos and Nations, special districts and other entities able to enter an IGA with DWS. </w:t>
      </w:r>
      <w:r>
        <w:rPr>
          <w:i/>
        </w:rPr>
        <w:t>Private and nonprofit developers therefore appear most relevant as development partners to an eligible governmental entity, rather than as stand-alone respondents.</w:t>
      </w:r>
      <w:r>
        <w:t xml:space="preserve"> The state defines affordable housing as serving households below 80% of area median income and attainable housing as serving households below 150%.</w:t>
      </w:r>
    </w:p>
    <w:p>
      <w:pPr>
        <w:pStyle w:val="EconomistHead"/>
      </w:pPr>
      <w:r>
        <w:t>The clock matters</w:t>
      </w:r>
    </w:p>
    <w:tbl>
      <w:tblPr>
        <w:tblW w:type="auto" w:w="0"/>
        <w:jc w:val="center"/>
        <w:tblLayout w:type="fixed"/>
        <w:tblLook w:firstColumn="1" w:firstRow="1" w:lastColumn="0" w:lastRow="0" w:noHBand="0" w:noVBand="1" w:val="04A0"/>
      </w:tblPr>
      <w:tblGrid>
        <w:gridCol w:w="3384"/>
        <w:gridCol w:w="6480"/>
      </w:tblGrid>
      <w:tr>
        <w:tc>
          <w:tcPr>
            <w:tcW w:type="dxa" w:w="5112"/>
            <w:vAlign w:val="center"/>
            <w:shd w:fill="333333"/>
          </w:tcPr>
          <w:p>
            <w:r>
              <w:rPr>
                <w:b/>
                <w:color w:val="FFFFFF"/>
                <w:sz w:val="17"/>
              </w:rPr>
              <w:t>Milestone</w:t>
            </w:r>
          </w:p>
        </w:tc>
        <w:tc>
          <w:tcPr>
            <w:tcW w:type="dxa" w:w="5112"/>
            <w:vAlign w:val="center"/>
            <w:shd w:fill="333333"/>
          </w:tcPr>
          <w:p>
            <w:r>
              <w:rPr>
                <w:b/>
                <w:color w:val="FFFFFF"/>
                <w:sz w:val="17"/>
              </w:rPr>
              <w:t>Timing</w:t>
            </w:r>
          </w:p>
        </w:tc>
      </w:tr>
      <w:tr>
        <w:tc>
          <w:tcPr>
            <w:tcW w:type="dxa" w:w="3384"/>
            <w:vAlign w:val="center"/>
          </w:tcPr>
          <w:p>
            <w:pPr>
              <w:spacing w:after="0"/>
            </w:pPr>
            <w:r>
              <w:rPr>
                <w:sz w:val="16"/>
              </w:rPr>
              <w:t>RFI issued</w:t>
            </w:r>
          </w:p>
        </w:tc>
        <w:tc>
          <w:tcPr>
            <w:tcW w:type="dxa" w:w="6480"/>
            <w:vAlign w:val="center"/>
          </w:tcPr>
          <w:p>
            <w:pPr>
              <w:spacing w:after="0"/>
            </w:pPr>
            <w:r>
              <w:rPr>
                <w:sz w:val="16"/>
              </w:rPr>
              <w:t>April 24, 2026</w:t>
            </w:r>
          </w:p>
        </w:tc>
      </w:tr>
      <w:tr>
        <w:tc>
          <w:tcPr>
            <w:tcW w:type="dxa" w:w="3384"/>
            <w:vAlign w:val="center"/>
          </w:tcPr>
          <w:p>
            <w:pPr>
              <w:spacing w:after="0"/>
            </w:pPr>
            <w:r>
              <w:rPr>
                <w:sz w:val="16"/>
              </w:rPr>
              <w:t>Responses accepted</w:t>
            </w:r>
          </w:p>
        </w:tc>
        <w:tc>
          <w:tcPr>
            <w:tcW w:type="dxa" w:w="6480"/>
            <w:vAlign w:val="center"/>
          </w:tcPr>
          <w:p>
            <w:pPr>
              <w:spacing w:after="0"/>
            </w:pPr>
            <w:r>
              <w:rPr>
                <w:sz w:val="16"/>
              </w:rPr>
              <w:t>Rolling through December 31, 2026</w:t>
            </w:r>
          </w:p>
        </w:tc>
      </w:tr>
      <w:tr>
        <w:tc>
          <w:tcPr>
            <w:tcW w:type="dxa" w:w="3384"/>
            <w:vAlign w:val="center"/>
          </w:tcPr>
          <w:p>
            <w:pPr>
              <w:spacing w:after="0"/>
            </w:pPr>
            <w:r>
              <w:rPr>
                <w:sz w:val="16"/>
              </w:rPr>
              <w:t>DWS review</w:t>
            </w:r>
          </w:p>
        </w:tc>
        <w:tc>
          <w:tcPr>
            <w:tcW w:type="dxa" w:w="6480"/>
            <w:vAlign w:val="center"/>
          </w:tcPr>
          <w:p>
            <w:pPr>
              <w:spacing w:after="0"/>
            </w:pPr>
            <w:r>
              <w:rPr>
                <w:sz w:val="16"/>
              </w:rPr>
              <w:t>Monthly; proposals received by the 15th enter that review cycle</w:t>
            </w:r>
          </w:p>
        </w:tc>
      </w:tr>
      <w:tr>
        <w:tc>
          <w:tcPr>
            <w:tcW w:type="dxa" w:w="3384"/>
            <w:vAlign w:val="center"/>
          </w:tcPr>
          <w:p>
            <w:pPr>
              <w:spacing w:after="0"/>
            </w:pPr>
            <w:r>
              <w:rPr>
                <w:sz w:val="16"/>
              </w:rPr>
              <w:t>Potential IGAs</w:t>
            </w:r>
          </w:p>
        </w:tc>
        <w:tc>
          <w:tcPr>
            <w:tcW w:type="dxa" w:w="6480"/>
            <w:vAlign w:val="center"/>
          </w:tcPr>
          <w:p>
            <w:pPr>
              <w:spacing w:after="0"/>
            </w:pPr>
            <w:r>
              <w:rPr>
                <w:sz w:val="16"/>
              </w:rPr>
              <w:t>Rolling until funds are allocated, the RFI ends, or March 31, 2027</w:t>
            </w:r>
          </w:p>
        </w:tc>
      </w:tr>
      <w:tr>
        <w:tc>
          <w:tcPr>
            <w:tcW w:type="dxa" w:w="3384"/>
            <w:vAlign w:val="center"/>
          </w:tcPr>
          <w:p>
            <w:pPr>
              <w:spacing w:after="0"/>
            </w:pPr>
            <w:r>
              <w:rPr>
                <w:sz w:val="16"/>
              </w:rPr>
              <w:t>General funds</w:t>
            </w:r>
          </w:p>
        </w:tc>
        <w:tc>
          <w:tcPr>
            <w:tcW w:type="dxa" w:w="6480"/>
            <w:vAlign w:val="center"/>
          </w:tcPr>
          <w:p>
            <w:pPr>
              <w:spacing w:after="0"/>
            </w:pPr>
            <w:r>
              <w:rPr>
                <w:sz w:val="16"/>
              </w:rPr>
              <w:t>Must be fully expended by June 30, 2027</w:t>
            </w:r>
          </w:p>
        </w:tc>
      </w:tr>
      <w:tr>
        <w:tc>
          <w:tcPr>
            <w:tcW w:type="dxa" w:w="3384"/>
            <w:vAlign w:val="center"/>
          </w:tcPr>
          <w:p>
            <w:pPr>
              <w:spacing w:after="0"/>
            </w:pPr>
            <w:r>
              <w:rPr>
                <w:sz w:val="16"/>
              </w:rPr>
              <w:t>Capital outlay</w:t>
            </w:r>
          </w:p>
        </w:tc>
        <w:tc>
          <w:tcPr>
            <w:tcW w:type="dxa" w:w="6480"/>
            <w:vAlign w:val="center"/>
          </w:tcPr>
          <w:p>
            <w:pPr>
              <w:spacing w:after="0"/>
            </w:pPr>
            <w:r>
              <w:rPr>
                <w:sz w:val="16"/>
              </w:rPr>
              <w:t>Must be fully expended by June 30, 2028</w:t>
            </w:r>
          </w:p>
        </w:tc>
      </w:tr>
    </w:tbl>
    <w:p>
      <w:pPr>
        <w:spacing w:before="80"/>
      </w:pPr>
      <w:r>
        <w:rPr>
          <w:b/>
        </w:rPr>
        <w:t xml:space="preserve">Although December 31 is the formal response deadline, the structure rewards speed. </w:t>
      </w:r>
      <w:r>
        <w:t>DWS reviews submissions monthly and may enter IGAs as it goes, stopping when available funds have been committed. Projects seeking general funds face the tighter spending deadline of June 30, 2027; capital-outlay projects have until June 30, 2028. In practice, a well-developed project submitted early may have an advantage over one that waits for the nominal deadline.</w:t>
      </w:r>
    </w:p>
    <w:p>
      <w:pPr>
        <w:pStyle w:val="EconomistHead"/>
      </w:pPr>
      <w:r>
        <w:t>What a credible submission looks like</w:t>
      </w:r>
    </w:p>
    <w:p>
      <w:r>
        <w:t>Each project requires its own electronic response. Applicants must provide the Project Overview Form, a detailed schedule and milestones, a financing narrative and capital stack, the status of each funding source, and a Sources &amp; Uses pro forma covering development through stabilized operations. Rental, supportive and transitional projects also require a stabilized operating statement. Experience, relevant land-use practices, prior capital-outlay requests and applicable Housing New Mexico or New Mexico Finance Authority commitments must also be documented.</w:t>
      </w:r>
    </w:p>
    <w:p>
      <w:pPr>
        <w:spacing w:before="100" w:after="0"/>
        <w:shd w:fill="F0F0F0"/>
      </w:pPr>
      <w:r>
        <w:rPr>
          <w:b/>
          <w:color w:val="BE0000"/>
        </w:rPr>
        <w:t xml:space="preserve">BOTTOM LINE  </w:t>
      </w:r>
      <w:r>
        <w:t>This RFI is best viewed as a funding pipeline rather than a mere information exercise. The strongest candidates will be projects that are already defined, financially feasible, leveraged with other capital and capable of meeting the State’s expenditure deadlines. Because funding decisions and IGAs occur on a rolling basis, readiness and early submission could be as important as the size of the housing opportunity.</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787878"/>
        <w:sz w:val="14"/>
      </w:rPr>
      <w:t>Summary prepared from State of New Mexico DWS RFI #26-631-1111-00041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conomistTitle">
    <w:name w:val="Economist Title"/>
    <w:pPr>
      <w:spacing w:after="40"/>
    </w:pPr>
    <w:rPr>
      <w:rFonts w:ascii="Arial" w:hAnsi="Arial"/>
      <w:b/>
      <w:color w:val="1E1E1E"/>
      <w:sz w:val="40"/>
    </w:rPr>
  </w:style>
  <w:style w:type="paragraph" w:customStyle="1" w:styleId="Deck">
    <w:name w:val="Deck"/>
    <w:pPr>
      <w:spacing w:after="140"/>
    </w:pPr>
    <w:rPr>
      <w:rFonts w:ascii="Arial" w:hAnsi="Arial"/>
      <w:i/>
      <w:color w:val="505050"/>
      <w:sz w:val="21"/>
    </w:rPr>
  </w:style>
  <w:style w:type="paragraph" w:customStyle="1" w:styleId="EconomistHead">
    <w:name w:val="Economist Head"/>
    <w:pPr>
      <w:spacing w:before="100" w:after="40"/>
    </w:pPr>
    <w:rPr>
      <w:rFonts w:ascii="Arial" w:hAnsi="Arial"/>
      <w:b/>
      <w:color w:val="BE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