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SPECIAL REPORT  •  THE COST OF A HOME</w:t>
      </w:r>
    </w:p>
    <w:p>
      <w:pPr>
        <w:pStyle w:val="Title"/>
      </w:pPr>
      <w:r>
        <w:t>When money costs more,</w:t>
        <w:br/>
        <w:t>homes move less</w:t>
      </w:r>
    </w:p>
    <w:p>
      <w:pPr>
        <w:pStyle w:val="Standfirst"/>
      </w:pPr>
      <w:r>
        <w:t>The mortgage-rate shock has frozen America’s housing market more effectively than it has deflated house prices. The Southwest is feeling the chill; Albuquerque is no exception.</w:t>
      </w:r>
    </w:p>
    <w:p>
      <w:pPr>
        <w:pStyle w:val="SmallNote"/>
      </w:pPr>
      <w:r>
        <w:t>11 October 2026  |  United States • Southwest • Greater Albuquerque</w:t>
      </w:r>
    </w:p>
    <w:tbl>
      <w:tblPr>
        <w:tblW w:type="auto" w:w="0"/>
        <w:tblLayout w:type="fixed"/>
        <w:tblLook w:firstColumn="1" w:firstRow="1" w:lastColumn="0" w:lastRow="0" w:noHBand="0" w:noVBand="1" w:val="04A0"/>
      </w:tblPr>
      <w:tblGrid>
        <w:gridCol w:w="3312"/>
        <w:gridCol w:w="3312"/>
        <w:gridCol w:w="3312"/>
      </w:tblGrid>
      <w:tr>
        <w:tc>
          <w:tcPr>
            <w:tcW w:type="dxa" w:w="3269"/>
          </w:tcPr>
          <w:p>
            <w:pPr>
              <w:pStyle w:val="BigNumber"/>
            </w:pPr>
            <w:r>
              <w:t>7.40%</w:t>
            </w:r>
          </w:p>
          <w:p>
            <w:pPr>
              <w:spacing w:after="40"/>
            </w:pPr>
            <w:r>
              <w:rPr>
                <w:rFonts w:ascii="Arial" w:hAnsi="Arial"/>
                <w:color w:val="55616D"/>
                <w:sz w:val="14"/>
              </w:rPr>
              <w:t>30-year Freddie Mac</w:t>
              <w:br/>
              <w:t>rate, 8 October</w:t>
            </w:r>
          </w:p>
        </w:tc>
        <w:tc>
          <w:tcPr>
            <w:tcW w:type="dxa" w:w="3269"/>
          </w:tcPr>
          <w:p>
            <w:pPr>
              <w:pStyle w:val="BigNumber"/>
            </w:pPr>
            <w:r>
              <w:t>4.061m</w:t>
            </w:r>
          </w:p>
          <w:p>
            <w:pPr>
              <w:spacing w:after="40"/>
            </w:pPr>
            <w:r>
              <w:rPr>
                <w:rFonts w:ascii="Arial" w:hAnsi="Arial"/>
                <w:color w:val="55616D"/>
                <w:sz w:val="14"/>
              </w:rPr>
              <w:t>US existing-home sales</w:t>
              <w:br/>
              <w:t>in 2025</w:t>
            </w:r>
          </w:p>
        </w:tc>
        <w:tc>
          <w:tcPr>
            <w:tcW w:type="dxa" w:w="3269"/>
          </w:tcPr>
          <w:p>
            <w:pPr>
              <w:pStyle w:val="BigNumber"/>
            </w:pPr>
            <w:r>
              <w:t>−7.8%</w:t>
            </w:r>
          </w:p>
          <w:p>
            <w:pPr>
              <w:spacing w:after="40"/>
            </w:pPr>
            <w:r>
              <w:rPr>
                <w:rFonts w:ascii="Arial" w:hAnsi="Arial"/>
                <w:color w:val="55616D"/>
                <w:sz w:val="14"/>
              </w:rPr>
              <w:t>ABQ detached closings</w:t>
              <w:br/>
              <w:t>August 2026, year on year</w:t>
            </w:r>
          </w:p>
        </w:tc>
      </w:tr>
    </w:tbl>
    <w:p>
      <w:pPr>
        <w:pStyle w:val="SmallNote"/>
      </w:pPr>
      <w:r>
        <w:t>Latest rates are weekly readings; annual averages are shown separately. Sources: Freddie Mac [1], NAR data via Realtor.com [5], Southwest MLS [10].</w:t>
      </w:r>
    </w:p>
    <w:p>
      <w:pPr>
        <w:pStyle w:val="Heading1"/>
      </w:pPr>
      <w:r>
        <w:t>The thesis</w:t>
      </w:r>
    </w:p>
    <w:p>
      <w:r>
        <w:t>Mortgage rates influence the monthly payment, not just the sticker price. When borrowing costs fall, more households qualify for a loan, existing owners are readier to trade houses, and more purchase agreements can clear. When rates rise, affordability erodes, refinancings vanish and potential sellers refuse to abandon old low-rate mortgages. Transactions typically respond before sale prices do. [3, 4, 7]</w:t>
      </w:r>
    </w:p>
    <w:p>
      <w:r>
        <w:t>That distinction is critical in October 2026. The 30-year fixed mortgage rate reached 7.40% in Freddie Mac’s October 8 survey, against 6.30% a year earlier. A separate Mortgage Bankers Association measure—7.49% in the week ended October 2, as reported by Reuters—tracks a different survey and must not be confused with Freddie Mac’s series. [1, 3]</w:t>
      </w:r>
    </w:p>
    <w:p>
      <w:pPr>
        <w:pStyle w:val="Heading1"/>
      </w:pPr>
      <w:r>
        <w:t>Why prices are sticky</w:t>
      </w:r>
    </w:p>
    <w:p>
      <w:r>
        <w:t>Higher rates reduce purchasing power, but they also deter owners with 3% mortgages from selling. Less demand meets less supply. Federal Housing Finance Agency research estimates that mortgage lock-in prevented roughly 1.72m transactions from mid-2022 to mid-2024. The same work suggests the supply squeeze partly offset downward pressure on prices. [7]</w:t>
      </w:r>
    </w:p>
    <w:p>
      <w:r>
        <w:t>Housing in the Southwest has consequently become a collection of local negotiations rather than one national price cycle. Price cuts are widespread in Denver, Phoenix and Salt Lake City; in Albuquerque, inventory and marketing times have risen, but detached-home closing prices remain firm. [8–10]</w:t>
      </w:r>
    </w:p>
    <w:p>
      <w:pPr>
        <w:pStyle w:val="Heading1"/>
      </w:pPr>
      <w:r>
        <w:t>The central forecast</w:t>
      </w:r>
    </w:p>
    <w:p>
      <w:r>
        <w:t>Unless rates retreat meaningfully, deal counts are more likely to soften than nominal home prices are to collapse. Price concessions, rate buydowns and selective discounts should broaden first. A sustainable recovery in volumes probably needs both lower financing costs and a recovery in willingness to list—not one interest-rate cut alone.</w:t>
      </w:r>
    </w:p>
    <w:p>
      <w:r>
        <w:br w:type="page"/>
      </w:r>
    </w:p>
    <w:p>
      <w:pPr>
        <w:pStyle w:val="Kicker"/>
      </w:pPr>
      <w:r>
        <w:t>THE LONG VIEW  /  1999–2025</w:t>
      </w:r>
    </w:p>
    <w:p>
      <w:pPr>
        <w:pStyle w:val="Heading1"/>
      </w:pPr>
      <w:r>
        <w:t>Twenty-seven years of expensive and cheap money</w:t>
      </w:r>
    </w:p>
    <w:p>
      <w:pPr>
        <w:pStyle w:val="FigureCaption"/>
      </w:pPr>
      <w:r>
        <w:t>FIGURE 1  |  US 30-year fixed mortgage rate, annual average, 1999–2025</w:t>
      </w:r>
    </w:p>
    <w:p>
      <w:pPr>
        <w:spacing w:after="60"/>
        <w:jc w:val="center"/>
      </w:pPr>
      <w:r>
        <w:drawing>
          <wp:inline xmlns:a="http://schemas.openxmlformats.org/drawingml/2006/main" xmlns:pic="http://schemas.openxmlformats.org/drawingml/2006/picture">
            <wp:extent cx="6309360" cy="2583683"/>
            <wp:docPr id="1" name="Picture 1"/>
            <wp:cNvGraphicFramePr>
              <a:graphicFrameLocks noChangeAspect="1"/>
            </wp:cNvGraphicFramePr>
            <a:graphic>
              <a:graphicData uri="http://schemas.openxmlformats.org/drawingml/2006/picture">
                <pic:pic>
                  <pic:nvPicPr>
                    <pic:cNvPr id="0" name="figure1_rates.png"/>
                    <pic:cNvPicPr/>
                  </pic:nvPicPr>
                  <pic:blipFill>
                    <a:blip r:embed="rId11"/>
                    <a:stretch>
                      <a:fillRect/>
                    </a:stretch>
                  </pic:blipFill>
                  <pic:spPr>
                    <a:xfrm>
                      <a:off x="0" y="0"/>
                      <a:ext cx="6309360" cy="2583683"/>
                    </a:xfrm>
                    <a:prstGeom prst="rect"/>
                  </pic:spPr>
                </pic:pic>
              </a:graphicData>
            </a:graphic>
          </wp:inline>
        </w:drawing>
      </w:r>
    </w:p>
    <w:p>
      <w:pPr>
        <w:pStyle w:val="SmallNote"/>
      </w:pPr>
      <w:r>
        <w:t>Source: Freddie Mac PMMS weekly observations, annual means as compiled from FRED [2]. The red 2026 point is the 8 October WEEKLY observation, not a 2026 annual average [1].</w:t>
      </w:r>
    </w:p>
    <w:p>
      <w:r>
        <w:t>The 27 complete calendar years begin with 8.05% in 2000, fall into the 3–4% range during much of the 2010s, reach a 2.96% annual trough in 2021, then jump to 5.34% in 2022 and 6.81% in 2023. Although the 2025 annual average eased to 6.60%, the latest 7.40% reading has restored rates last experienced in late 2023. [1, 2]</w:t>
      </w:r>
    </w:p>
    <w:p>
      <w:pPr>
        <w:pStyle w:val="Heading2"/>
      </w:pPr>
      <w:r>
        <w:t>Read the average carefully</w:t>
      </w:r>
    </w:p>
    <w:p>
      <w:r>
        <w:t>Annual averages smooth over decisive changes within a year: 2022 began near 3.2% and touched 7.1% by October. Freddie Mac also changed its underlying data collection in November 2022. The 27-year chart is therefore a useful long-term compass, not a perfectly controlled experiment or a measure of what any individual borrower was quoted. [2, 11]</w:t>
      </w:r>
    </w:p>
    <w:p>
      <w:pPr>
        <w:pStyle w:val="FigureCaption"/>
      </w:pPr>
      <w:r>
        <w:t>THE UNDERLYING ANNUAL SERIES</w:t>
      </w:r>
    </w:p>
    <w:tbl>
      <w:tblPr>
        <w:tblW w:type="auto" w:w="0"/>
        <w:jc w:val="center"/>
        <w:tblLayout w:type="fixed"/>
        <w:tblLook w:firstColumn="1" w:firstRow="1" w:lastColumn="0" w:lastRow="0" w:noHBand="0" w:noVBand="1" w:val="04A0"/>
      </w:tblPr>
      <w:tblGrid>
        <w:gridCol w:w="1656"/>
        <w:gridCol w:w="1656"/>
        <w:gridCol w:w="1656"/>
        <w:gridCol w:w="1656"/>
        <w:gridCol w:w="1656"/>
        <w:gridCol w:w="1656"/>
      </w:tblGrid>
      <w:tr>
        <w:trPr>
          <w:tblHeader/>
        </w:trPr>
        <w:tc>
          <w:tcPr>
            <w:tcW w:type="dxa" w:w="1037"/>
            <w:vAlign w:val="center"/>
            <w:shd w:fill="262C32"/>
          </w:tcPr>
          <w:p>
            <w:pPr>
              <w:spacing w:before="60" w:after="60"/>
            </w:pPr>
            <w:r>
              <w:rPr>
                <w:rFonts w:ascii="Arial" w:hAnsi="Arial"/>
                <w:b/>
                <w:color w:val="FFFFFF"/>
                <w:sz w:val="16"/>
              </w:rPr>
              <w:t>Year</w:t>
            </w:r>
          </w:p>
        </w:tc>
        <w:tc>
          <w:tcPr>
            <w:tcW w:type="dxa" w:w="1296"/>
            <w:vAlign w:val="center"/>
            <w:shd w:fill="262C32"/>
          </w:tcPr>
          <w:p>
            <w:pPr>
              <w:spacing w:before="60" w:after="60"/>
            </w:pPr>
            <w:r>
              <w:rPr>
                <w:rFonts w:ascii="Arial" w:hAnsi="Arial"/>
                <w:b/>
                <w:color w:val="FFFFFF"/>
                <w:sz w:val="16"/>
              </w:rPr>
              <w:t>Rate</w:t>
            </w:r>
          </w:p>
        </w:tc>
        <w:tc>
          <w:tcPr>
            <w:tcW w:type="dxa" w:w="1037"/>
            <w:vAlign w:val="center"/>
            <w:shd w:fill="262C32"/>
          </w:tcPr>
          <w:p>
            <w:pPr>
              <w:spacing w:before="60" w:after="60"/>
            </w:pPr>
            <w:r>
              <w:rPr>
                <w:rFonts w:ascii="Arial" w:hAnsi="Arial"/>
                <w:b/>
                <w:color w:val="FFFFFF"/>
                <w:sz w:val="16"/>
              </w:rPr>
              <w:t>Year</w:t>
            </w:r>
          </w:p>
        </w:tc>
        <w:tc>
          <w:tcPr>
            <w:tcW w:type="dxa" w:w="1296"/>
            <w:vAlign w:val="center"/>
            <w:shd w:fill="262C32"/>
          </w:tcPr>
          <w:p>
            <w:pPr>
              <w:spacing w:before="60" w:after="60"/>
            </w:pPr>
            <w:r>
              <w:rPr>
                <w:rFonts w:ascii="Arial" w:hAnsi="Arial"/>
                <w:b/>
                <w:color w:val="FFFFFF"/>
                <w:sz w:val="16"/>
              </w:rPr>
              <w:t>Rate</w:t>
            </w:r>
          </w:p>
        </w:tc>
        <w:tc>
          <w:tcPr>
            <w:tcW w:type="dxa" w:w="1037"/>
            <w:vAlign w:val="center"/>
            <w:shd w:fill="262C32"/>
          </w:tcPr>
          <w:p>
            <w:pPr>
              <w:spacing w:before="60" w:after="60"/>
            </w:pPr>
            <w:r>
              <w:rPr>
                <w:rFonts w:ascii="Arial" w:hAnsi="Arial"/>
                <w:b/>
                <w:color w:val="FFFFFF"/>
                <w:sz w:val="16"/>
              </w:rPr>
              <w:t>Year</w:t>
            </w:r>
          </w:p>
        </w:tc>
        <w:tc>
          <w:tcPr>
            <w:tcW w:type="dxa" w:w="1296"/>
            <w:vAlign w:val="center"/>
            <w:shd w:fill="262C32"/>
          </w:tcPr>
          <w:p>
            <w:pPr>
              <w:spacing w:before="60" w:after="60"/>
            </w:pPr>
            <w:r>
              <w:rPr>
                <w:rFonts w:ascii="Arial" w:hAnsi="Arial"/>
                <w:b/>
                <w:color w:val="FFFFFF"/>
                <w:sz w:val="16"/>
              </w:rPr>
              <w:t>Rate</w:t>
            </w:r>
          </w:p>
        </w:tc>
      </w:tr>
      <w:tr>
        <w:tc>
          <w:tcPr>
            <w:tcW w:type="dxa" w:w="1037"/>
            <w:vAlign w:val="center"/>
          </w:tcPr>
          <w:p>
            <w:pPr>
              <w:spacing w:before="40" w:after="40"/>
            </w:pPr>
            <w:r>
              <w:rPr>
                <w:rFonts w:ascii="Arial" w:hAnsi="Arial"/>
                <w:color w:val="20252B"/>
                <w:sz w:val="16"/>
              </w:rPr>
              <w:t>1999</w:t>
            </w:r>
          </w:p>
        </w:tc>
        <w:tc>
          <w:tcPr>
            <w:tcW w:type="dxa" w:w="1296"/>
            <w:vAlign w:val="center"/>
          </w:tcPr>
          <w:p>
            <w:pPr>
              <w:spacing w:before="40" w:after="40"/>
            </w:pPr>
            <w:r>
              <w:rPr>
                <w:rFonts w:ascii="Arial" w:hAnsi="Arial"/>
                <w:color w:val="20252B"/>
                <w:sz w:val="16"/>
              </w:rPr>
              <w:t>7.44%</w:t>
            </w:r>
          </w:p>
        </w:tc>
        <w:tc>
          <w:tcPr>
            <w:tcW w:type="dxa" w:w="1037"/>
            <w:vAlign w:val="center"/>
          </w:tcPr>
          <w:p>
            <w:pPr>
              <w:spacing w:before="40" w:after="40"/>
            </w:pPr>
            <w:r>
              <w:rPr>
                <w:rFonts w:ascii="Arial" w:hAnsi="Arial"/>
                <w:color w:val="20252B"/>
                <w:sz w:val="16"/>
              </w:rPr>
              <w:t>2008</w:t>
            </w:r>
          </w:p>
        </w:tc>
        <w:tc>
          <w:tcPr>
            <w:tcW w:type="dxa" w:w="1296"/>
            <w:vAlign w:val="center"/>
          </w:tcPr>
          <w:p>
            <w:pPr>
              <w:spacing w:before="40" w:after="40"/>
            </w:pPr>
            <w:r>
              <w:rPr>
                <w:rFonts w:ascii="Arial" w:hAnsi="Arial"/>
                <w:color w:val="20252B"/>
                <w:sz w:val="16"/>
              </w:rPr>
              <w:t>6.03%</w:t>
            </w:r>
          </w:p>
        </w:tc>
        <w:tc>
          <w:tcPr>
            <w:tcW w:type="dxa" w:w="1037"/>
            <w:vAlign w:val="center"/>
          </w:tcPr>
          <w:p>
            <w:pPr>
              <w:spacing w:before="40" w:after="40"/>
            </w:pPr>
            <w:r>
              <w:rPr>
                <w:rFonts w:ascii="Arial" w:hAnsi="Arial"/>
                <w:color w:val="20252B"/>
                <w:sz w:val="16"/>
              </w:rPr>
              <w:t>2017</w:t>
            </w:r>
          </w:p>
        </w:tc>
        <w:tc>
          <w:tcPr>
            <w:tcW w:type="dxa" w:w="1296"/>
            <w:vAlign w:val="center"/>
          </w:tcPr>
          <w:p>
            <w:pPr>
              <w:spacing w:before="40" w:after="40"/>
            </w:pPr>
            <w:r>
              <w:rPr>
                <w:rFonts w:ascii="Arial" w:hAnsi="Arial"/>
                <w:color w:val="20252B"/>
                <w:sz w:val="16"/>
              </w:rPr>
              <w:t>3.99%</w:t>
            </w:r>
          </w:p>
        </w:tc>
      </w:tr>
      <w:tr>
        <w:tc>
          <w:tcPr>
            <w:tcW w:type="dxa" w:w="1037"/>
            <w:vAlign w:val="center"/>
            <w:shd w:fill="F2F3F2"/>
          </w:tcPr>
          <w:p>
            <w:pPr>
              <w:spacing w:before="40" w:after="40"/>
            </w:pPr>
            <w:r>
              <w:rPr>
                <w:rFonts w:ascii="Arial" w:hAnsi="Arial"/>
                <w:color w:val="20252B"/>
                <w:sz w:val="16"/>
              </w:rPr>
              <w:t>2000</w:t>
            </w:r>
          </w:p>
        </w:tc>
        <w:tc>
          <w:tcPr>
            <w:tcW w:type="dxa" w:w="1296"/>
            <w:vAlign w:val="center"/>
            <w:shd w:fill="F2F3F2"/>
          </w:tcPr>
          <w:p>
            <w:pPr>
              <w:spacing w:before="40" w:after="40"/>
            </w:pPr>
            <w:r>
              <w:rPr>
                <w:rFonts w:ascii="Arial" w:hAnsi="Arial"/>
                <w:color w:val="20252B"/>
                <w:sz w:val="16"/>
              </w:rPr>
              <w:t>8.05%</w:t>
            </w:r>
          </w:p>
        </w:tc>
        <w:tc>
          <w:tcPr>
            <w:tcW w:type="dxa" w:w="1037"/>
            <w:vAlign w:val="center"/>
            <w:shd w:fill="F2F3F2"/>
          </w:tcPr>
          <w:p>
            <w:pPr>
              <w:spacing w:before="40" w:after="40"/>
            </w:pPr>
            <w:r>
              <w:rPr>
                <w:rFonts w:ascii="Arial" w:hAnsi="Arial"/>
                <w:color w:val="20252B"/>
                <w:sz w:val="16"/>
              </w:rPr>
              <w:t>2009</w:t>
            </w:r>
          </w:p>
        </w:tc>
        <w:tc>
          <w:tcPr>
            <w:tcW w:type="dxa" w:w="1296"/>
            <w:vAlign w:val="center"/>
            <w:shd w:fill="F2F3F2"/>
          </w:tcPr>
          <w:p>
            <w:pPr>
              <w:spacing w:before="40" w:after="40"/>
            </w:pPr>
            <w:r>
              <w:rPr>
                <w:rFonts w:ascii="Arial" w:hAnsi="Arial"/>
                <w:color w:val="20252B"/>
                <w:sz w:val="16"/>
              </w:rPr>
              <w:t>5.04%</w:t>
            </w:r>
          </w:p>
        </w:tc>
        <w:tc>
          <w:tcPr>
            <w:tcW w:type="dxa" w:w="1037"/>
            <w:vAlign w:val="center"/>
            <w:shd w:fill="F2F3F2"/>
          </w:tcPr>
          <w:p>
            <w:pPr>
              <w:spacing w:before="40" w:after="40"/>
            </w:pPr>
            <w:r>
              <w:rPr>
                <w:rFonts w:ascii="Arial" w:hAnsi="Arial"/>
                <w:color w:val="20252B"/>
                <w:sz w:val="16"/>
              </w:rPr>
              <w:t>2018</w:t>
            </w:r>
          </w:p>
        </w:tc>
        <w:tc>
          <w:tcPr>
            <w:tcW w:type="dxa" w:w="1296"/>
            <w:vAlign w:val="center"/>
            <w:shd w:fill="F2F3F2"/>
          </w:tcPr>
          <w:p>
            <w:pPr>
              <w:spacing w:before="40" w:after="40"/>
            </w:pPr>
            <w:r>
              <w:rPr>
                <w:rFonts w:ascii="Arial" w:hAnsi="Arial"/>
                <w:color w:val="20252B"/>
                <w:sz w:val="16"/>
              </w:rPr>
              <w:t>4.54%</w:t>
            </w:r>
          </w:p>
        </w:tc>
      </w:tr>
      <w:tr>
        <w:tc>
          <w:tcPr>
            <w:tcW w:type="dxa" w:w="1037"/>
            <w:vAlign w:val="center"/>
          </w:tcPr>
          <w:p>
            <w:pPr>
              <w:spacing w:before="40" w:after="40"/>
            </w:pPr>
            <w:r>
              <w:rPr>
                <w:rFonts w:ascii="Arial" w:hAnsi="Arial"/>
                <w:color w:val="20252B"/>
                <w:sz w:val="16"/>
              </w:rPr>
              <w:t>2001</w:t>
            </w:r>
          </w:p>
        </w:tc>
        <w:tc>
          <w:tcPr>
            <w:tcW w:type="dxa" w:w="1296"/>
            <w:vAlign w:val="center"/>
          </w:tcPr>
          <w:p>
            <w:pPr>
              <w:spacing w:before="40" w:after="40"/>
            </w:pPr>
            <w:r>
              <w:rPr>
                <w:rFonts w:ascii="Arial" w:hAnsi="Arial"/>
                <w:color w:val="20252B"/>
                <w:sz w:val="16"/>
              </w:rPr>
              <w:t>6.97%</w:t>
            </w:r>
          </w:p>
        </w:tc>
        <w:tc>
          <w:tcPr>
            <w:tcW w:type="dxa" w:w="1037"/>
            <w:vAlign w:val="center"/>
          </w:tcPr>
          <w:p>
            <w:pPr>
              <w:spacing w:before="40" w:after="40"/>
            </w:pPr>
            <w:r>
              <w:rPr>
                <w:rFonts w:ascii="Arial" w:hAnsi="Arial"/>
                <w:color w:val="20252B"/>
                <w:sz w:val="16"/>
              </w:rPr>
              <w:t>2010</w:t>
            </w:r>
          </w:p>
        </w:tc>
        <w:tc>
          <w:tcPr>
            <w:tcW w:type="dxa" w:w="1296"/>
            <w:vAlign w:val="center"/>
          </w:tcPr>
          <w:p>
            <w:pPr>
              <w:spacing w:before="40" w:after="40"/>
            </w:pPr>
            <w:r>
              <w:rPr>
                <w:rFonts w:ascii="Arial" w:hAnsi="Arial"/>
                <w:color w:val="20252B"/>
                <w:sz w:val="16"/>
              </w:rPr>
              <w:t>4.69%</w:t>
            </w:r>
          </w:p>
        </w:tc>
        <w:tc>
          <w:tcPr>
            <w:tcW w:type="dxa" w:w="1037"/>
            <w:vAlign w:val="center"/>
          </w:tcPr>
          <w:p>
            <w:pPr>
              <w:spacing w:before="40" w:after="40"/>
            </w:pPr>
            <w:r>
              <w:rPr>
                <w:rFonts w:ascii="Arial" w:hAnsi="Arial"/>
                <w:color w:val="20252B"/>
                <w:sz w:val="16"/>
              </w:rPr>
              <w:t>2019</w:t>
            </w:r>
          </w:p>
        </w:tc>
        <w:tc>
          <w:tcPr>
            <w:tcW w:type="dxa" w:w="1296"/>
            <w:vAlign w:val="center"/>
          </w:tcPr>
          <w:p>
            <w:pPr>
              <w:spacing w:before="40" w:after="40"/>
            </w:pPr>
            <w:r>
              <w:rPr>
                <w:rFonts w:ascii="Arial" w:hAnsi="Arial"/>
                <w:color w:val="20252B"/>
                <w:sz w:val="16"/>
              </w:rPr>
              <w:t>3.94%</w:t>
            </w:r>
          </w:p>
        </w:tc>
      </w:tr>
      <w:tr>
        <w:tc>
          <w:tcPr>
            <w:tcW w:type="dxa" w:w="1037"/>
            <w:vAlign w:val="center"/>
            <w:shd w:fill="F2F3F2"/>
          </w:tcPr>
          <w:p>
            <w:pPr>
              <w:spacing w:before="40" w:after="40"/>
            </w:pPr>
            <w:r>
              <w:rPr>
                <w:rFonts w:ascii="Arial" w:hAnsi="Arial"/>
                <w:color w:val="20252B"/>
                <w:sz w:val="16"/>
              </w:rPr>
              <w:t>2002</w:t>
            </w:r>
          </w:p>
        </w:tc>
        <w:tc>
          <w:tcPr>
            <w:tcW w:type="dxa" w:w="1296"/>
            <w:vAlign w:val="center"/>
            <w:shd w:fill="F2F3F2"/>
          </w:tcPr>
          <w:p>
            <w:pPr>
              <w:spacing w:before="40" w:after="40"/>
            </w:pPr>
            <w:r>
              <w:rPr>
                <w:rFonts w:ascii="Arial" w:hAnsi="Arial"/>
                <w:color w:val="20252B"/>
                <w:sz w:val="16"/>
              </w:rPr>
              <w:t>6.54%</w:t>
            </w:r>
          </w:p>
        </w:tc>
        <w:tc>
          <w:tcPr>
            <w:tcW w:type="dxa" w:w="1037"/>
            <w:vAlign w:val="center"/>
            <w:shd w:fill="F2F3F2"/>
          </w:tcPr>
          <w:p>
            <w:pPr>
              <w:spacing w:before="40" w:after="40"/>
            </w:pPr>
            <w:r>
              <w:rPr>
                <w:rFonts w:ascii="Arial" w:hAnsi="Arial"/>
                <w:color w:val="20252B"/>
                <w:sz w:val="16"/>
              </w:rPr>
              <w:t>2011</w:t>
            </w:r>
          </w:p>
        </w:tc>
        <w:tc>
          <w:tcPr>
            <w:tcW w:type="dxa" w:w="1296"/>
            <w:vAlign w:val="center"/>
            <w:shd w:fill="F2F3F2"/>
          </w:tcPr>
          <w:p>
            <w:pPr>
              <w:spacing w:before="40" w:after="40"/>
            </w:pPr>
            <w:r>
              <w:rPr>
                <w:rFonts w:ascii="Arial" w:hAnsi="Arial"/>
                <w:color w:val="20252B"/>
                <w:sz w:val="16"/>
              </w:rPr>
              <w:t>4.45%</w:t>
            </w:r>
          </w:p>
        </w:tc>
        <w:tc>
          <w:tcPr>
            <w:tcW w:type="dxa" w:w="1037"/>
            <w:vAlign w:val="center"/>
            <w:shd w:fill="F2F3F2"/>
          </w:tcPr>
          <w:p>
            <w:pPr>
              <w:spacing w:before="40" w:after="40"/>
            </w:pPr>
            <w:r>
              <w:rPr>
                <w:rFonts w:ascii="Arial" w:hAnsi="Arial"/>
                <w:color w:val="20252B"/>
                <w:sz w:val="16"/>
              </w:rPr>
              <w:t>2020</w:t>
            </w:r>
          </w:p>
        </w:tc>
        <w:tc>
          <w:tcPr>
            <w:tcW w:type="dxa" w:w="1296"/>
            <w:vAlign w:val="center"/>
            <w:shd w:fill="F2F3F2"/>
          </w:tcPr>
          <w:p>
            <w:pPr>
              <w:spacing w:before="40" w:after="40"/>
            </w:pPr>
            <w:r>
              <w:rPr>
                <w:rFonts w:ascii="Arial" w:hAnsi="Arial"/>
                <w:color w:val="20252B"/>
                <w:sz w:val="16"/>
              </w:rPr>
              <w:t>3.11%</w:t>
            </w:r>
          </w:p>
        </w:tc>
      </w:tr>
      <w:tr>
        <w:tc>
          <w:tcPr>
            <w:tcW w:type="dxa" w:w="1037"/>
            <w:vAlign w:val="center"/>
          </w:tcPr>
          <w:p>
            <w:pPr>
              <w:spacing w:before="40" w:after="40"/>
            </w:pPr>
            <w:r>
              <w:rPr>
                <w:rFonts w:ascii="Arial" w:hAnsi="Arial"/>
                <w:color w:val="20252B"/>
                <w:sz w:val="16"/>
              </w:rPr>
              <w:t>2003</w:t>
            </w:r>
          </w:p>
        </w:tc>
        <w:tc>
          <w:tcPr>
            <w:tcW w:type="dxa" w:w="1296"/>
            <w:vAlign w:val="center"/>
          </w:tcPr>
          <w:p>
            <w:pPr>
              <w:spacing w:before="40" w:after="40"/>
            </w:pPr>
            <w:r>
              <w:rPr>
                <w:rFonts w:ascii="Arial" w:hAnsi="Arial"/>
                <w:color w:val="20252B"/>
                <w:sz w:val="16"/>
              </w:rPr>
              <w:t>5.83%</w:t>
            </w:r>
          </w:p>
        </w:tc>
        <w:tc>
          <w:tcPr>
            <w:tcW w:type="dxa" w:w="1037"/>
            <w:vAlign w:val="center"/>
          </w:tcPr>
          <w:p>
            <w:pPr>
              <w:spacing w:before="40" w:after="40"/>
            </w:pPr>
            <w:r>
              <w:rPr>
                <w:rFonts w:ascii="Arial" w:hAnsi="Arial"/>
                <w:color w:val="20252B"/>
                <w:sz w:val="16"/>
              </w:rPr>
              <w:t>2012</w:t>
            </w:r>
          </w:p>
        </w:tc>
        <w:tc>
          <w:tcPr>
            <w:tcW w:type="dxa" w:w="1296"/>
            <w:vAlign w:val="center"/>
          </w:tcPr>
          <w:p>
            <w:pPr>
              <w:spacing w:before="40" w:after="40"/>
            </w:pPr>
            <w:r>
              <w:rPr>
                <w:rFonts w:ascii="Arial" w:hAnsi="Arial"/>
                <w:color w:val="20252B"/>
                <w:sz w:val="16"/>
              </w:rPr>
              <w:t>3.66%</w:t>
            </w:r>
          </w:p>
        </w:tc>
        <w:tc>
          <w:tcPr>
            <w:tcW w:type="dxa" w:w="1037"/>
            <w:vAlign w:val="center"/>
          </w:tcPr>
          <w:p>
            <w:pPr>
              <w:spacing w:before="40" w:after="40"/>
            </w:pPr>
            <w:r>
              <w:rPr>
                <w:rFonts w:ascii="Arial" w:hAnsi="Arial"/>
                <w:color w:val="20252B"/>
                <w:sz w:val="16"/>
              </w:rPr>
              <w:t>2021</w:t>
            </w:r>
          </w:p>
        </w:tc>
        <w:tc>
          <w:tcPr>
            <w:tcW w:type="dxa" w:w="1296"/>
            <w:vAlign w:val="center"/>
          </w:tcPr>
          <w:p>
            <w:pPr>
              <w:spacing w:before="40" w:after="40"/>
            </w:pPr>
            <w:r>
              <w:rPr>
                <w:rFonts w:ascii="Arial" w:hAnsi="Arial"/>
                <w:color w:val="20252B"/>
                <w:sz w:val="16"/>
              </w:rPr>
              <w:t>2.96%</w:t>
            </w:r>
          </w:p>
        </w:tc>
      </w:tr>
      <w:tr>
        <w:tc>
          <w:tcPr>
            <w:tcW w:type="dxa" w:w="1037"/>
            <w:vAlign w:val="center"/>
            <w:shd w:fill="F2F3F2"/>
          </w:tcPr>
          <w:p>
            <w:pPr>
              <w:spacing w:before="40" w:after="40"/>
            </w:pPr>
            <w:r>
              <w:rPr>
                <w:rFonts w:ascii="Arial" w:hAnsi="Arial"/>
                <w:color w:val="20252B"/>
                <w:sz w:val="16"/>
              </w:rPr>
              <w:t>2004</w:t>
            </w:r>
          </w:p>
        </w:tc>
        <w:tc>
          <w:tcPr>
            <w:tcW w:type="dxa" w:w="1296"/>
            <w:vAlign w:val="center"/>
            <w:shd w:fill="F2F3F2"/>
          </w:tcPr>
          <w:p>
            <w:pPr>
              <w:spacing w:before="40" w:after="40"/>
            </w:pPr>
            <w:r>
              <w:rPr>
                <w:rFonts w:ascii="Arial" w:hAnsi="Arial"/>
                <w:color w:val="20252B"/>
                <w:sz w:val="16"/>
              </w:rPr>
              <w:t>5.84%</w:t>
            </w:r>
          </w:p>
        </w:tc>
        <w:tc>
          <w:tcPr>
            <w:tcW w:type="dxa" w:w="1037"/>
            <w:vAlign w:val="center"/>
            <w:shd w:fill="F2F3F2"/>
          </w:tcPr>
          <w:p>
            <w:pPr>
              <w:spacing w:before="40" w:after="40"/>
            </w:pPr>
            <w:r>
              <w:rPr>
                <w:rFonts w:ascii="Arial" w:hAnsi="Arial"/>
                <w:color w:val="20252B"/>
                <w:sz w:val="16"/>
              </w:rPr>
              <w:t>2013</w:t>
            </w:r>
          </w:p>
        </w:tc>
        <w:tc>
          <w:tcPr>
            <w:tcW w:type="dxa" w:w="1296"/>
            <w:vAlign w:val="center"/>
            <w:shd w:fill="F2F3F2"/>
          </w:tcPr>
          <w:p>
            <w:pPr>
              <w:spacing w:before="40" w:after="40"/>
            </w:pPr>
            <w:r>
              <w:rPr>
                <w:rFonts w:ascii="Arial" w:hAnsi="Arial"/>
                <w:color w:val="20252B"/>
                <w:sz w:val="16"/>
              </w:rPr>
              <w:t>3.98%</w:t>
            </w:r>
          </w:p>
        </w:tc>
        <w:tc>
          <w:tcPr>
            <w:tcW w:type="dxa" w:w="1037"/>
            <w:vAlign w:val="center"/>
            <w:shd w:fill="F2F3F2"/>
          </w:tcPr>
          <w:p>
            <w:pPr>
              <w:spacing w:before="40" w:after="40"/>
            </w:pPr>
            <w:r>
              <w:rPr>
                <w:rFonts w:ascii="Arial" w:hAnsi="Arial"/>
                <w:color w:val="20252B"/>
                <w:sz w:val="16"/>
              </w:rPr>
              <w:t>2022</w:t>
            </w:r>
          </w:p>
        </w:tc>
        <w:tc>
          <w:tcPr>
            <w:tcW w:type="dxa" w:w="1296"/>
            <w:vAlign w:val="center"/>
            <w:shd w:fill="F2F3F2"/>
          </w:tcPr>
          <w:p>
            <w:pPr>
              <w:spacing w:before="40" w:after="40"/>
            </w:pPr>
            <w:r>
              <w:rPr>
                <w:rFonts w:ascii="Arial" w:hAnsi="Arial"/>
                <w:color w:val="20252B"/>
                <w:sz w:val="16"/>
              </w:rPr>
              <w:t>5.34%</w:t>
            </w:r>
          </w:p>
        </w:tc>
      </w:tr>
      <w:tr>
        <w:tc>
          <w:tcPr>
            <w:tcW w:type="dxa" w:w="1037"/>
            <w:vAlign w:val="center"/>
          </w:tcPr>
          <w:p>
            <w:pPr>
              <w:spacing w:before="40" w:after="40"/>
            </w:pPr>
            <w:r>
              <w:rPr>
                <w:rFonts w:ascii="Arial" w:hAnsi="Arial"/>
                <w:color w:val="20252B"/>
                <w:sz w:val="16"/>
              </w:rPr>
              <w:t>2005</w:t>
            </w:r>
          </w:p>
        </w:tc>
        <w:tc>
          <w:tcPr>
            <w:tcW w:type="dxa" w:w="1296"/>
            <w:vAlign w:val="center"/>
          </w:tcPr>
          <w:p>
            <w:pPr>
              <w:spacing w:before="40" w:after="40"/>
            </w:pPr>
            <w:r>
              <w:rPr>
                <w:rFonts w:ascii="Arial" w:hAnsi="Arial"/>
                <w:color w:val="20252B"/>
                <w:sz w:val="16"/>
              </w:rPr>
              <w:t>5.87%</w:t>
            </w:r>
          </w:p>
        </w:tc>
        <w:tc>
          <w:tcPr>
            <w:tcW w:type="dxa" w:w="1037"/>
            <w:vAlign w:val="center"/>
          </w:tcPr>
          <w:p>
            <w:pPr>
              <w:spacing w:before="40" w:after="40"/>
            </w:pPr>
            <w:r>
              <w:rPr>
                <w:rFonts w:ascii="Arial" w:hAnsi="Arial"/>
                <w:color w:val="20252B"/>
                <w:sz w:val="16"/>
              </w:rPr>
              <w:t>2014</w:t>
            </w:r>
          </w:p>
        </w:tc>
        <w:tc>
          <w:tcPr>
            <w:tcW w:type="dxa" w:w="1296"/>
            <w:vAlign w:val="center"/>
          </w:tcPr>
          <w:p>
            <w:pPr>
              <w:spacing w:before="40" w:after="40"/>
            </w:pPr>
            <w:r>
              <w:rPr>
                <w:rFonts w:ascii="Arial" w:hAnsi="Arial"/>
                <w:color w:val="20252B"/>
                <w:sz w:val="16"/>
              </w:rPr>
              <w:t>4.17%</w:t>
            </w:r>
          </w:p>
        </w:tc>
        <w:tc>
          <w:tcPr>
            <w:tcW w:type="dxa" w:w="1037"/>
            <w:vAlign w:val="center"/>
          </w:tcPr>
          <w:p>
            <w:pPr>
              <w:spacing w:before="40" w:after="40"/>
            </w:pPr>
            <w:r>
              <w:rPr>
                <w:rFonts w:ascii="Arial" w:hAnsi="Arial"/>
                <w:color w:val="20252B"/>
                <w:sz w:val="16"/>
              </w:rPr>
              <w:t>2023</w:t>
            </w:r>
          </w:p>
        </w:tc>
        <w:tc>
          <w:tcPr>
            <w:tcW w:type="dxa" w:w="1296"/>
            <w:vAlign w:val="center"/>
          </w:tcPr>
          <w:p>
            <w:pPr>
              <w:spacing w:before="40" w:after="40"/>
            </w:pPr>
            <w:r>
              <w:rPr>
                <w:rFonts w:ascii="Arial" w:hAnsi="Arial"/>
                <w:color w:val="20252B"/>
                <w:sz w:val="16"/>
              </w:rPr>
              <w:t>6.81%</w:t>
            </w:r>
          </w:p>
        </w:tc>
      </w:tr>
      <w:tr>
        <w:tc>
          <w:tcPr>
            <w:tcW w:type="dxa" w:w="1037"/>
            <w:vAlign w:val="center"/>
            <w:shd w:fill="F2F3F2"/>
          </w:tcPr>
          <w:p>
            <w:pPr>
              <w:spacing w:before="40" w:after="40"/>
            </w:pPr>
            <w:r>
              <w:rPr>
                <w:rFonts w:ascii="Arial" w:hAnsi="Arial"/>
                <w:color w:val="20252B"/>
                <w:sz w:val="16"/>
              </w:rPr>
              <w:t>2006</w:t>
            </w:r>
          </w:p>
        </w:tc>
        <w:tc>
          <w:tcPr>
            <w:tcW w:type="dxa" w:w="1296"/>
            <w:vAlign w:val="center"/>
            <w:shd w:fill="F2F3F2"/>
          </w:tcPr>
          <w:p>
            <w:pPr>
              <w:spacing w:before="40" w:after="40"/>
            </w:pPr>
            <w:r>
              <w:rPr>
                <w:rFonts w:ascii="Arial" w:hAnsi="Arial"/>
                <w:color w:val="20252B"/>
                <w:sz w:val="16"/>
              </w:rPr>
              <w:t>6.41%</w:t>
            </w:r>
          </w:p>
        </w:tc>
        <w:tc>
          <w:tcPr>
            <w:tcW w:type="dxa" w:w="1037"/>
            <w:vAlign w:val="center"/>
            <w:shd w:fill="F2F3F2"/>
          </w:tcPr>
          <w:p>
            <w:pPr>
              <w:spacing w:before="40" w:after="40"/>
            </w:pPr>
            <w:r>
              <w:rPr>
                <w:rFonts w:ascii="Arial" w:hAnsi="Arial"/>
                <w:color w:val="20252B"/>
                <w:sz w:val="16"/>
              </w:rPr>
              <w:t>2015</w:t>
            </w:r>
          </w:p>
        </w:tc>
        <w:tc>
          <w:tcPr>
            <w:tcW w:type="dxa" w:w="1296"/>
            <w:vAlign w:val="center"/>
            <w:shd w:fill="F2F3F2"/>
          </w:tcPr>
          <w:p>
            <w:pPr>
              <w:spacing w:before="40" w:after="40"/>
            </w:pPr>
            <w:r>
              <w:rPr>
                <w:rFonts w:ascii="Arial" w:hAnsi="Arial"/>
                <w:color w:val="20252B"/>
                <w:sz w:val="16"/>
              </w:rPr>
              <w:t>3.85%</w:t>
            </w:r>
          </w:p>
        </w:tc>
        <w:tc>
          <w:tcPr>
            <w:tcW w:type="dxa" w:w="1037"/>
            <w:vAlign w:val="center"/>
            <w:shd w:fill="F2F3F2"/>
          </w:tcPr>
          <w:p>
            <w:pPr>
              <w:spacing w:before="40" w:after="40"/>
            </w:pPr>
            <w:r>
              <w:rPr>
                <w:rFonts w:ascii="Arial" w:hAnsi="Arial"/>
                <w:color w:val="20252B"/>
                <w:sz w:val="16"/>
              </w:rPr>
              <w:t>2024</w:t>
            </w:r>
          </w:p>
        </w:tc>
        <w:tc>
          <w:tcPr>
            <w:tcW w:type="dxa" w:w="1296"/>
            <w:vAlign w:val="center"/>
            <w:shd w:fill="F2F3F2"/>
          </w:tcPr>
          <w:p>
            <w:pPr>
              <w:spacing w:before="40" w:after="40"/>
            </w:pPr>
            <w:r>
              <w:rPr>
                <w:rFonts w:ascii="Arial" w:hAnsi="Arial"/>
                <w:color w:val="20252B"/>
                <w:sz w:val="16"/>
              </w:rPr>
              <w:t>6.72%</w:t>
            </w:r>
          </w:p>
        </w:tc>
      </w:tr>
      <w:tr>
        <w:tc>
          <w:tcPr>
            <w:tcW w:type="dxa" w:w="1037"/>
            <w:vAlign w:val="center"/>
          </w:tcPr>
          <w:p>
            <w:pPr>
              <w:spacing w:before="40" w:after="40"/>
            </w:pPr>
            <w:r>
              <w:rPr>
                <w:rFonts w:ascii="Arial" w:hAnsi="Arial"/>
                <w:color w:val="20252B"/>
                <w:sz w:val="16"/>
              </w:rPr>
              <w:t>2007</w:t>
            </w:r>
          </w:p>
        </w:tc>
        <w:tc>
          <w:tcPr>
            <w:tcW w:type="dxa" w:w="1296"/>
            <w:vAlign w:val="center"/>
          </w:tcPr>
          <w:p>
            <w:pPr>
              <w:spacing w:before="40" w:after="40"/>
            </w:pPr>
            <w:r>
              <w:rPr>
                <w:rFonts w:ascii="Arial" w:hAnsi="Arial"/>
                <w:color w:val="20252B"/>
                <w:sz w:val="16"/>
              </w:rPr>
              <w:t>6.34%</w:t>
            </w:r>
          </w:p>
        </w:tc>
        <w:tc>
          <w:tcPr>
            <w:tcW w:type="dxa" w:w="1037"/>
            <w:vAlign w:val="center"/>
          </w:tcPr>
          <w:p>
            <w:pPr>
              <w:spacing w:before="40" w:after="40"/>
            </w:pPr>
            <w:r>
              <w:rPr>
                <w:rFonts w:ascii="Arial" w:hAnsi="Arial"/>
                <w:color w:val="20252B"/>
                <w:sz w:val="16"/>
              </w:rPr>
              <w:t>2016</w:t>
            </w:r>
          </w:p>
        </w:tc>
        <w:tc>
          <w:tcPr>
            <w:tcW w:type="dxa" w:w="1296"/>
            <w:vAlign w:val="center"/>
          </w:tcPr>
          <w:p>
            <w:pPr>
              <w:spacing w:before="40" w:after="40"/>
            </w:pPr>
            <w:r>
              <w:rPr>
                <w:rFonts w:ascii="Arial" w:hAnsi="Arial"/>
                <w:color w:val="20252B"/>
                <w:sz w:val="16"/>
              </w:rPr>
              <w:t>3.65%</w:t>
            </w:r>
          </w:p>
        </w:tc>
        <w:tc>
          <w:tcPr>
            <w:tcW w:type="dxa" w:w="1037"/>
            <w:vAlign w:val="center"/>
          </w:tcPr>
          <w:p>
            <w:pPr>
              <w:spacing w:before="40" w:after="40"/>
            </w:pPr>
            <w:r>
              <w:rPr>
                <w:rFonts w:ascii="Arial" w:hAnsi="Arial"/>
                <w:color w:val="20252B"/>
                <w:sz w:val="16"/>
              </w:rPr>
              <w:t>2025</w:t>
            </w:r>
          </w:p>
        </w:tc>
        <w:tc>
          <w:tcPr>
            <w:tcW w:type="dxa" w:w="1296"/>
            <w:vAlign w:val="center"/>
          </w:tcPr>
          <w:p>
            <w:pPr>
              <w:spacing w:before="40" w:after="40"/>
            </w:pPr>
            <w:r>
              <w:rPr>
                <w:rFonts w:ascii="Arial" w:hAnsi="Arial"/>
                <w:color w:val="20252B"/>
                <w:sz w:val="16"/>
              </w:rPr>
              <w:t>6.60%</w:t>
            </w:r>
          </w:p>
        </w:tc>
      </w:tr>
    </w:tbl>
    <w:p>
      <w:pPr>
        <w:spacing w:after="0"/>
      </w:pPr>
    </w:p>
    <w:p>
      <w:r>
        <w:br w:type="page"/>
      </w:r>
    </w:p>
    <w:p>
      <w:pPr>
        <w:pStyle w:val="Kicker"/>
      </w:pPr>
      <w:r>
        <w:t>DEAL FLOW  /  THE VOLUME CHANNEL</w:t>
      </w:r>
    </w:p>
    <w:p>
      <w:pPr>
        <w:pStyle w:val="Heading1"/>
      </w:pPr>
      <w:r>
        <w:t>The market freezes before it falls</w:t>
      </w:r>
    </w:p>
    <w:p>
      <w:pPr>
        <w:pStyle w:val="FigureCaption"/>
      </w:pPr>
      <w:r>
        <w:t>FIGURE 2  |  Rates and US existing-home transactions, 2017–2025</w:t>
      </w:r>
    </w:p>
    <w:p>
      <w:pPr>
        <w:spacing w:after="60"/>
        <w:jc w:val="center"/>
      </w:pPr>
      <w:r>
        <w:drawing>
          <wp:inline xmlns:a="http://schemas.openxmlformats.org/drawingml/2006/main" xmlns:pic="http://schemas.openxmlformats.org/drawingml/2006/picture">
            <wp:extent cx="6309360" cy="2899151"/>
            <wp:docPr id="2" name="Picture 2"/>
            <wp:cNvGraphicFramePr>
              <a:graphicFrameLocks noChangeAspect="1"/>
            </wp:cNvGraphicFramePr>
            <a:graphic>
              <a:graphicData uri="http://schemas.openxmlformats.org/drawingml/2006/picture">
                <pic:pic>
                  <pic:nvPicPr>
                    <pic:cNvPr id="0" name="figure2_sales.png"/>
                    <pic:cNvPicPr/>
                  </pic:nvPicPr>
                  <pic:blipFill>
                    <a:blip r:embed="rId12"/>
                    <a:stretch>
                      <a:fillRect/>
                    </a:stretch>
                  </pic:blipFill>
                  <pic:spPr>
                    <a:xfrm>
                      <a:off x="0" y="0"/>
                      <a:ext cx="6309360" cy="2899151"/>
                    </a:xfrm>
                    <a:prstGeom prst="rect"/>
                  </pic:spPr>
                </pic:pic>
              </a:graphicData>
            </a:graphic>
          </wp:inline>
        </w:drawing>
      </w:r>
    </w:p>
    <w:p>
      <w:pPr>
        <w:pStyle w:val="SmallNote"/>
      </w:pPr>
      <w:r>
        <w:t>Rate: annual mean, Freddie Mac [2]. Transactions: annual counts, NAR historical figures [5, 6]. These are two parallel time series, not proof of an isolated causal effect.</w:t>
      </w:r>
    </w:p>
    <w:p>
      <w:r>
        <w:t>The most persuasive comparison is 2021 against 2025. As the annual mortgage rate rose from 2.96% to 6.60%, existing-home sales fell from 6.12m to about 4.06m—a drop of 33.6%. The decline cannot all be credited to financing: pandemic distortions, employment, price gains, demographics and listings also matter. Yet the direction and scale illustrate why brokers experience a credit squeeze as fewer closings before it appears in assessed values. [2, 5, 6]</w:t>
      </w:r>
    </w:p>
    <w:p>
      <w:r>
        <w:t>The latest national reading is consistent with that mechanism. August 2026 existing-home sales were running at a seasonally adjusted annual rate of 3.98m, down 2.0% month on month, while the median transaction price still rose 1.6% year on year to $429,100. Inventory was 1.62m units, or 4.9 months of supply. The annualized monthly pace is not the same measure as the full-year counts charted above. [4]</w:t>
      </w:r>
    </w:p>
    <w:p>
      <w:pPr>
        <w:pStyle w:val="Heading2"/>
      </w:pPr>
      <w:r>
        <w:t>A traffic jam, not a crash</w:t>
      </w:r>
    </w:p>
    <w:p>
      <w:r>
        <w:t>On the demand side, expensive monthly payments exclude marginal households. On the supply side, mortgage lock-in keeps owners in place. Freddie Mac’s benchmark captures owner-occupied conforming loans; investor property, non-owner-occupied fourplex and jumbo condominium financing may carry materially different quotes and underwriting conditions. [7, 11]</w:t>
      </w:r>
    </w:p>
    <w:p>
      <w:r>
        <w:br w:type="page"/>
      </w:r>
    </w:p>
    <w:p>
      <w:pPr>
        <w:pStyle w:val="Kicker"/>
      </w:pPr>
      <w:r>
        <w:t>THE SOUTHWEST  /  SIX MARKETS</w:t>
      </w:r>
    </w:p>
    <w:p>
      <w:pPr>
        <w:pStyle w:val="Heading1"/>
      </w:pPr>
      <w:r>
        <w:t>An uneven regional retreat</w:t>
      </w:r>
    </w:p>
    <w:p>
      <w:pPr>
        <w:pStyle w:val="FigureCaption"/>
      </w:pPr>
      <w:r>
        <w:t>FIGURE 3  |  Share of active home listings with price reductions, September 2026</w:t>
      </w:r>
    </w:p>
    <w:p>
      <w:pPr>
        <w:spacing w:after="60"/>
        <w:jc w:val="center"/>
      </w:pPr>
      <w:r>
        <w:drawing>
          <wp:inline xmlns:a="http://schemas.openxmlformats.org/drawingml/2006/main" xmlns:pic="http://schemas.openxmlformats.org/drawingml/2006/picture">
            <wp:extent cx="6263640" cy="2120503"/>
            <wp:docPr id="3" name="Picture 3"/>
            <wp:cNvGraphicFramePr>
              <a:graphicFrameLocks noChangeAspect="1"/>
            </wp:cNvGraphicFramePr>
            <a:graphic>
              <a:graphicData uri="http://schemas.openxmlformats.org/drawingml/2006/picture">
                <pic:pic>
                  <pic:nvPicPr>
                    <pic:cNvPr id="0" name="figure3_regional.png"/>
                    <pic:cNvPicPr/>
                  </pic:nvPicPr>
                  <pic:blipFill>
                    <a:blip r:embed="rId13"/>
                    <a:stretch>
                      <a:fillRect/>
                    </a:stretch>
                  </pic:blipFill>
                  <pic:spPr>
                    <a:xfrm>
                      <a:off x="0" y="0"/>
                      <a:ext cx="6263640" cy="2120503"/>
                    </a:xfrm>
                    <a:prstGeom prst="rect"/>
                  </pic:spPr>
                </pic:pic>
              </a:graphicData>
            </a:graphic>
          </wp:inline>
        </w:drawing>
      </w:r>
    </w:p>
    <w:p>
      <w:pPr>
        <w:pStyle w:val="SmallNote"/>
      </w:pPr>
      <w:r>
        <w:t>Source: Realtor.com September 2026 trends [8], with Albuquerque’s local September detail [9]. These are ASKING-PRICE cuts, not declines in closed-sale prices.</w:t>
      </w:r>
    </w:p>
    <w:p>
      <w:r>
        <w:t>The Western region’s inventory rose 6.2% from a year earlier in September; the South’s rose 2.6%. Median asking prices fell 0.8% in the West and 2.4% in the South. Yet the southwest cities tell distinct stories, reflecting different construction booms, migration trends and local pricing. [8]</w:t>
      </w:r>
    </w:p>
    <w:tbl>
      <w:tblPr>
        <w:tblW w:type="auto" w:w="0"/>
        <w:jc w:val="center"/>
        <w:tblLayout w:type="fixed"/>
        <w:tblLook w:firstColumn="1" w:firstRow="1" w:lastColumn="0" w:lastRow="0" w:noHBand="0" w:noVBand="1" w:val="04A0"/>
      </w:tblPr>
      <w:tblGrid>
        <w:gridCol w:w="2484"/>
        <w:gridCol w:w="2484"/>
        <w:gridCol w:w="2484"/>
        <w:gridCol w:w="2484"/>
      </w:tblGrid>
      <w:tr>
        <w:trPr>
          <w:tblHeader/>
        </w:trPr>
        <w:tc>
          <w:tcPr>
            <w:tcW w:type="dxa" w:w="3456"/>
            <w:vAlign w:val="center"/>
            <w:shd w:fill="262C32"/>
          </w:tcPr>
          <w:p>
            <w:pPr>
              <w:spacing w:before="60" w:after="60"/>
            </w:pPr>
            <w:r>
              <w:rPr>
                <w:rFonts w:ascii="Arial" w:hAnsi="Arial"/>
                <w:b/>
                <w:color w:val="FFFFFF"/>
                <w:sz w:val="16"/>
              </w:rPr>
              <w:t>September 2026 market</w:t>
            </w:r>
          </w:p>
        </w:tc>
        <w:tc>
          <w:tcPr>
            <w:tcW w:type="dxa" w:w="2045"/>
            <w:vAlign w:val="center"/>
            <w:shd w:fill="262C32"/>
          </w:tcPr>
          <w:p>
            <w:pPr>
              <w:spacing w:before="60" w:after="60"/>
            </w:pPr>
            <w:r>
              <w:rPr>
                <w:rFonts w:ascii="Arial" w:hAnsi="Arial"/>
                <w:b/>
                <w:color w:val="FFFFFF"/>
                <w:sz w:val="16"/>
              </w:rPr>
              <w:t>Active listings YoY</w:t>
            </w:r>
          </w:p>
        </w:tc>
        <w:tc>
          <w:tcPr>
            <w:tcW w:type="dxa" w:w="2275"/>
            <w:vAlign w:val="center"/>
            <w:shd w:fill="262C32"/>
          </w:tcPr>
          <w:p>
            <w:pPr>
              <w:spacing w:before="60" w:after="60"/>
            </w:pPr>
            <w:r>
              <w:rPr>
                <w:rFonts w:ascii="Arial" w:hAnsi="Arial"/>
                <w:b/>
                <w:color w:val="FFFFFF"/>
                <w:sz w:val="16"/>
              </w:rPr>
              <w:t>Median list price YoY</w:t>
            </w:r>
          </w:p>
        </w:tc>
        <w:tc>
          <w:tcPr>
            <w:tcW w:type="dxa" w:w="2002"/>
            <w:vAlign w:val="center"/>
            <w:shd w:fill="262C32"/>
          </w:tcPr>
          <w:p>
            <w:pPr>
              <w:spacing w:before="60" w:after="60"/>
            </w:pPr>
            <w:r>
              <w:rPr>
                <w:rFonts w:ascii="Arial" w:hAnsi="Arial"/>
                <w:b/>
                <w:color w:val="FFFFFF"/>
                <w:sz w:val="16"/>
              </w:rPr>
              <w:t>With price cuts</w:t>
            </w:r>
          </w:p>
        </w:tc>
      </w:tr>
      <w:tr>
        <w:tc>
          <w:tcPr>
            <w:tcW w:type="dxa" w:w="3456"/>
            <w:vAlign w:val="center"/>
          </w:tcPr>
          <w:p>
            <w:pPr>
              <w:spacing w:before="40" w:after="40"/>
            </w:pPr>
            <w:r>
              <w:rPr>
                <w:rFonts w:ascii="Arial" w:hAnsi="Arial"/>
                <w:color w:val="20252B"/>
                <w:sz w:val="16"/>
              </w:rPr>
              <w:t>Albuquerque, NM</w:t>
            </w:r>
          </w:p>
        </w:tc>
        <w:tc>
          <w:tcPr>
            <w:tcW w:type="dxa" w:w="2045"/>
            <w:vAlign w:val="center"/>
          </w:tcPr>
          <w:p>
            <w:pPr>
              <w:spacing w:before="40" w:after="40"/>
            </w:pPr>
            <w:r>
              <w:rPr>
                <w:rFonts w:ascii="Arial" w:hAnsi="Arial"/>
                <w:color w:val="20252B"/>
                <w:sz w:val="16"/>
              </w:rPr>
              <w:t>+4.8%</w:t>
            </w:r>
          </w:p>
        </w:tc>
        <w:tc>
          <w:tcPr>
            <w:tcW w:type="dxa" w:w="2275"/>
            <w:vAlign w:val="center"/>
          </w:tcPr>
          <w:p>
            <w:pPr>
              <w:spacing w:before="40" w:after="40"/>
            </w:pPr>
            <w:r>
              <w:rPr>
                <w:rFonts w:ascii="Arial" w:hAnsi="Arial"/>
                <w:color w:val="20252B"/>
                <w:sz w:val="16"/>
              </w:rPr>
              <w:t>+0.3%</w:t>
            </w:r>
          </w:p>
        </w:tc>
        <w:tc>
          <w:tcPr>
            <w:tcW w:type="dxa" w:w="2002"/>
            <w:vAlign w:val="center"/>
          </w:tcPr>
          <w:p>
            <w:pPr>
              <w:spacing w:before="40" w:after="40"/>
            </w:pPr>
            <w:r>
              <w:rPr>
                <w:rFonts w:ascii="Arial" w:hAnsi="Arial"/>
                <w:color w:val="20252B"/>
                <w:sz w:val="16"/>
              </w:rPr>
              <w:t>25.6%</w:t>
            </w:r>
          </w:p>
        </w:tc>
      </w:tr>
      <w:tr>
        <w:tc>
          <w:tcPr>
            <w:tcW w:type="dxa" w:w="3456"/>
            <w:vAlign w:val="center"/>
            <w:shd w:fill="F2F3F2"/>
          </w:tcPr>
          <w:p>
            <w:pPr>
              <w:spacing w:before="40" w:after="40"/>
            </w:pPr>
            <w:r>
              <w:rPr>
                <w:rFonts w:ascii="Arial" w:hAnsi="Arial"/>
                <w:color w:val="20252B"/>
                <w:sz w:val="16"/>
              </w:rPr>
              <w:t>Phoenix, AZ</w:t>
            </w:r>
          </w:p>
        </w:tc>
        <w:tc>
          <w:tcPr>
            <w:tcW w:type="dxa" w:w="2045"/>
            <w:vAlign w:val="center"/>
            <w:shd w:fill="F2F3F2"/>
          </w:tcPr>
          <w:p>
            <w:pPr>
              <w:spacing w:before="40" w:after="40"/>
            </w:pPr>
            <w:r>
              <w:rPr>
                <w:rFonts w:ascii="Arial" w:hAnsi="Arial"/>
                <w:color w:val="20252B"/>
                <w:sz w:val="16"/>
              </w:rPr>
              <w:t>+7.5%</w:t>
            </w:r>
          </w:p>
        </w:tc>
        <w:tc>
          <w:tcPr>
            <w:tcW w:type="dxa" w:w="2275"/>
            <w:vAlign w:val="center"/>
            <w:shd w:fill="F2F3F2"/>
          </w:tcPr>
          <w:p>
            <w:pPr>
              <w:spacing w:before="40" w:after="40"/>
            </w:pPr>
            <w:r>
              <w:rPr>
                <w:rFonts w:ascii="Arial" w:hAnsi="Arial"/>
                <w:color w:val="20252B"/>
                <w:sz w:val="16"/>
              </w:rPr>
              <w:t>−4.8%</w:t>
            </w:r>
          </w:p>
        </w:tc>
        <w:tc>
          <w:tcPr>
            <w:tcW w:type="dxa" w:w="2002"/>
            <w:vAlign w:val="center"/>
            <w:shd w:fill="F2F3F2"/>
          </w:tcPr>
          <w:p>
            <w:pPr>
              <w:spacing w:before="40" w:after="40"/>
            </w:pPr>
            <w:r>
              <w:rPr>
                <w:rFonts w:ascii="Arial" w:hAnsi="Arial"/>
                <w:color w:val="20252B"/>
                <w:sz w:val="16"/>
              </w:rPr>
              <w:t>29.0%</w:t>
            </w:r>
          </w:p>
        </w:tc>
      </w:tr>
      <w:tr>
        <w:tc>
          <w:tcPr>
            <w:tcW w:type="dxa" w:w="3456"/>
            <w:vAlign w:val="center"/>
          </w:tcPr>
          <w:p>
            <w:pPr>
              <w:spacing w:before="40" w:after="40"/>
            </w:pPr>
            <w:r>
              <w:rPr>
                <w:rFonts w:ascii="Arial" w:hAnsi="Arial"/>
                <w:color w:val="20252B"/>
                <w:sz w:val="16"/>
              </w:rPr>
              <w:t>Denver, CO</w:t>
            </w:r>
          </w:p>
        </w:tc>
        <w:tc>
          <w:tcPr>
            <w:tcW w:type="dxa" w:w="2045"/>
            <w:vAlign w:val="center"/>
          </w:tcPr>
          <w:p>
            <w:pPr>
              <w:spacing w:before="40" w:after="40"/>
            </w:pPr>
            <w:r>
              <w:rPr>
                <w:rFonts w:ascii="Arial" w:hAnsi="Arial"/>
                <w:color w:val="20252B"/>
                <w:sz w:val="16"/>
              </w:rPr>
              <w:t>+6.7%</w:t>
            </w:r>
          </w:p>
        </w:tc>
        <w:tc>
          <w:tcPr>
            <w:tcW w:type="dxa" w:w="2275"/>
            <w:vAlign w:val="center"/>
          </w:tcPr>
          <w:p>
            <w:pPr>
              <w:spacing w:before="40" w:after="40"/>
            </w:pPr>
            <w:r>
              <w:rPr>
                <w:rFonts w:ascii="Arial" w:hAnsi="Arial"/>
                <w:color w:val="20252B"/>
                <w:sz w:val="16"/>
              </w:rPr>
              <w:t>−4.9%</w:t>
            </w:r>
          </w:p>
        </w:tc>
        <w:tc>
          <w:tcPr>
            <w:tcW w:type="dxa" w:w="2002"/>
            <w:vAlign w:val="center"/>
          </w:tcPr>
          <w:p>
            <w:pPr>
              <w:spacing w:before="40" w:after="40"/>
            </w:pPr>
            <w:r>
              <w:rPr>
                <w:rFonts w:ascii="Arial" w:hAnsi="Arial"/>
                <w:color w:val="20252B"/>
                <w:sz w:val="16"/>
              </w:rPr>
              <w:t>32.1%</w:t>
            </w:r>
          </w:p>
        </w:tc>
      </w:tr>
      <w:tr>
        <w:tc>
          <w:tcPr>
            <w:tcW w:type="dxa" w:w="3456"/>
            <w:vAlign w:val="center"/>
            <w:shd w:fill="F2F3F2"/>
          </w:tcPr>
          <w:p>
            <w:pPr>
              <w:spacing w:before="40" w:after="40"/>
            </w:pPr>
            <w:r>
              <w:rPr>
                <w:rFonts w:ascii="Arial" w:hAnsi="Arial"/>
                <w:color w:val="20252B"/>
                <w:sz w:val="16"/>
              </w:rPr>
              <w:t>Salt Lake City, UT</w:t>
            </w:r>
          </w:p>
        </w:tc>
        <w:tc>
          <w:tcPr>
            <w:tcW w:type="dxa" w:w="2045"/>
            <w:vAlign w:val="center"/>
            <w:shd w:fill="F2F3F2"/>
          </w:tcPr>
          <w:p>
            <w:pPr>
              <w:spacing w:before="40" w:after="40"/>
            </w:pPr>
            <w:r>
              <w:rPr>
                <w:rFonts w:ascii="Arial" w:hAnsi="Arial"/>
                <w:color w:val="20252B"/>
                <w:sz w:val="16"/>
              </w:rPr>
              <w:t>+14.1%</w:t>
            </w:r>
          </w:p>
        </w:tc>
        <w:tc>
          <w:tcPr>
            <w:tcW w:type="dxa" w:w="2275"/>
            <w:vAlign w:val="center"/>
            <w:shd w:fill="F2F3F2"/>
          </w:tcPr>
          <w:p>
            <w:pPr>
              <w:spacing w:before="40" w:after="40"/>
            </w:pPr>
            <w:r>
              <w:rPr>
                <w:rFonts w:ascii="Arial" w:hAnsi="Arial"/>
                <w:color w:val="20252B"/>
                <w:sz w:val="16"/>
              </w:rPr>
              <w:t>−3.6%</w:t>
            </w:r>
          </w:p>
        </w:tc>
        <w:tc>
          <w:tcPr>
            <w:tcW w:type="dxa" w:w="2002"/>
            <w:vAlign w:val="center"/>
            <w:shd w:fill="F2F3F2"/>
          </w:tcPr>
          <w:p>
            <w:pPr>
              <w:spacing w:before="40" w:after="40"/>
            </w:pPr>
            <w:r>
              <w:rPr>
                <w:rFonts w:ascii="Arial" w:hAnsi="Arial"/>
                <w:color w:val="20252B"/>
                <w:sz w:val="16"/>
              </w:rPr>
              <w:t>33.6%</w:t>
            </w:r>
          </w:p>
        </w:tc>
      </w:tr>
      <w:tr>
        <w:tc>
          <w:tcPr>
            <w:tcW w:type="dxa" w:w="3456"/>
            <w:vAlign w:val="center"/>
          </w:tcPr>
          <w:p>
            <w:pPr>
              <w:spacing w:before="40" w:after="40"/>
            </w:pPr>
            <w:r>
              <w:rPr>
                <w:rFonts w:ascii="Arial" w:hAnsi="Arial"/>
                <w:color w:val="20252B"/>
                <w:sz w:val="16"/>
              </w:rPr>
              <w:t>Austin, TX</w:t>
            </w:r>
          </w:p>
        </w:tc>
        <w:tc>
          <w:tcPr>
            <w:tcW w:type="dxa" w:w="2045"/>
            <w:vAlign w:val="center"/>
          </w:tcPr>
          <w:p>
            <w:pPr>
              <w:spacing w:before="40" w:after="40"/>
            </w:pPr>
            <w:r>
              <w:rPr>
                <w:rFonts w:ascii="Arial" w:hAnsi="Arial"/>
                <w:color w:val="20252B"/>
                <w:sz w:val="16"/>
              </w:rPr>
              <w:t>+1.4%</w:t>
            </w:r>
          </w:p>
        </w:tc>
        <w:tc>
          <w:tcPr>
            <w:tcW w:type="dxa" w:w="2275"/>
            <w:vAlign w:val="center"/>
          </w:tcPr>
          <w:p>
            <w:pPr>
              <w:spacing w:before="40" w:after="40"/>
            </w:pPr>
            <w:r>
              <w:rPr>
                <w:rFonts w:ascii="Arial" w:hAnsi="Arial"/>
                <w:color w:val="20252B"/>
                <w:sz w:val="16"/>
              </w:rPr>
              <w:t>−9.8%</w:t>
            </w:r>
          </w:p>
        </w:tc>
        <w:tc>
          <w:tcPr>
            <w:tcW w:type="dxa" w:w="2002"/>
            <w:vAlign w:val="center"/>
          </w:tcPr>
          <w:p>
            <w:pPr>
              <w:spacing w:before="40" w:after="40"/>
            </w:pPr>
            <w:r>
              <w:rPr>
                <w:rFonts w:ascii="Arial" w:hAnsi="Arial"/>
                <w:color w:val="20252B"/>
                <w:sz w:val="16"/>
              </w:rPr>
              <w:t>27.3%</w:t>
            </w:r>
          </w:p>
        </w:tc>
      </w:tr>
      <w:tr>
        <w:tc>
          <w:tcPr>
            <w:tcW w:type="dxa" w:w="3456"/>
            <w:vAlign w:val="center"/>
            <w:shd w:fill="F2F3F2"/>
          </w:tcPr>
          <w:p>
            <w:pPr>
              <w:spacing w:before="40" w:after="40"/>
            </w:pPr>
            <w:r>
              <w:rPr>
                <w:rFonts w:ascii="Arial" w:hAnsi="Arial"/>
                <w:color w:val="20252B"/>
                <w:sz w:val="16"/>
              </w:rPr>
              <w:t>United States</w:t>
            </w:r>
          </w:p>
        </w:tc>
        <w:tc>
          <w:tcPr>
            <w:tcW w:type="dxa" w:w="2045"/>
            <w:vAlign w:val="center"/>
            <w:shd w:fill="F2F3F2"/>
          </w:tcPr>
          <w:p>
            <w:pPr>
              <w:spacing w:before="40" w:after="40"/>
            </w:pPr>
            <w:r>
              <w:rPr>
                <w:rFonts w:ascii="Arial" w:hAnsi="Arial"/>
                <w:color w:val="20252B"/>
                <w:sz w:val="16"/>
              </w:rPr>
              <w:t>+5.4%</w:t>
            </w:r>
          </w:p>
        </w:tc>
        <w:tc>
          <w:tcPr>
            <w:tcW w:type="dxa" w:w="2275"/>
            <w:vAlign w:val="center"/>
            <w:shd w:fill="F2F3F2"/>
          </w:tcPr>
          <w:p>
            <w:pPr>
              <w:spacing w:before="40" w:after="40"/>
            </w:pPr>
            <w:r>
              <w:rPr>
                <w:rFonts w:ascii="Arial" w:hAnsi="Arial"/>
                <w:color w:val="20252B"/>
                <w:sz w:val="16"/>
              </w:rPr>
              <w:t>−1.4%</w:t>
            </w:r>
          </w:p>
        </w:tc>
        <w:tc>
          <w:tcPr>
            <w:tcW w:type="dxa" w:w="2002"/>
            <w:vAlign w:val="center"/>
            <w:shd w:fill="F2F3F2"/>
          </w:tcPr>
          <w:p>
            <w:pPr>
              <w:spacing w:before="40" w:after="40"/>
            </w:pPr>
            <w:r>
              <w:rPr>
                <w:rFonts w:ascii="Arial" w:hAnsi="Arial"/>
                <w:color w:val="20252B"/>
                <w:sz w:val="16"/>
              </w:rPr>
              <w:t>20.8%</w:t>
            </w:r>
          </w:p>
        </w:tc>
      </w:tr>
    </w:tbl>
    <w:p>
      <w:pPr>
        <w:spacing w:after="0"/>
      </w:pPr>
    </w:p>
    <w:p>
      <w:pPr>
        <w:pStyle w:val="SmallNote"/>
      </w:pPr>
      <w:r>
        <w:t>Source: Realtor.com September 2026 published market statistics [8, 9]. Albuquerque values refer to the local September listing series; comparison is geographic, not an MLS-defined detached-home sample.</w:t>
      </w:r>
    </w:p>
    <w:p>
      <w:pPr>
        <w:pStyle w:val="Heading2"/>
      </w:pPr>
      <w:r>
        <w:t>Why Albuquerque is different</w:t>
      </w:r>
    </w:p>
    <w:p>
      <w:r>
        <w:t>The price cuts in Denver and Salt Lake City are larger and more numerous than in Albuquerque. Albuquerque’s listing prices have remained virtually unchanged even while about one in four sellers has marked down an asking price. A list-price reduction measures seller behaviour on active listings; median closing prices tell a different story, and can lag by the length of a contract and escrow. [8, 9]</w:t>
      </w:r>
    </w:p>
    <w:p>
      <w:r>
        <w:t>In Phoenix, FHFA estimates that mortgage lock-in alone removed some 48,920 potential home sales from mid-2022 to mid-2024—among the largest impacts nationally. Hence additional listings in a region need not translate into plentiful transactions. [7]</w:t>
      </w:r>
    </w:p>
    <w:p>
      <w:r>
        <w:br w:type="page"/>
      </w:r>
    </w:p>
    <w:p>
      <w:pPr>
        <w:pStyle w:val="Kicker"/>
      </w:pPr>
      <w:r>
        <w:t>GREATER ALBUQUERQUE  /  REAL ESTATE IN PRACTICE</w:t>
      </w:r>
    </w:p>
    <w:p>
      <w:pPr>
        <w:pStyle w:val="Heading1"/>
      </w:pPr>
      <w:r>
        <w:t>Fewer closings, but little discount at the deed</w:t>
      </w:r>
    </w:p>
    <w:p>
      <w:r>
        <w:t>Southwest MLS’s latest detailed monthly report available on 11 October covered August 2026. Its six-county detached-home sample is more precise about completed sales than the broader September online listing series; the two should not be conflated. [9, 10]</w:t>
      </w:r>
    </w:p>
    <w:tbl>
      <w:tblPr>
        <w:tblW w:type="auto" w:w="0"/>
        <w:jc w:val="center"/>
        <w:tblLayout w:type="fixed"/>
        <w:tblLook w:firstColumn="1" w:firstRow="1" w:lastColumn="0" w:lastRow="0" w:noHBand="0" w:noVBand="1" w:val="04A0"/>
      </w:tblPr>
      <w:tblGrid>
        <w:gridCol w:w="2484"/>
        <w:gridCol w:w="2484"/>
        <w:gridCol w:w="2484"/>
        <w:gridCol w:w="2484"/>
      </w:tblGrid>
      <w:tr>
        <w:trPr>
          <w:tblHeader/>
        </w:trPr>
        <w:tc>
          <w:tcPr>
            <w:tcW w:type="dxa" w:w="3312"/>
            <w:vAlign w:val="center"/>
            <w:shd w:fill="262C32"/>
          </w:tcPr>
          <w:p>
            <w:pPr>
              <w:spacing w:before="60" w:after="60"/>
            </w:pPr>
            <w:r>
              <w:rPr>
                <w:rFonts w:ascii="Arial" w:hAnsi="Arial"/>
                <w:b/>
                <w:color w:val="FFFFFF"/>
                <w:sz w:val="16"/>
              </w:rPr>
              <w:t>Detached houses</w:t>
            </w:r>
          </w:p>
        </w:tc>
        <w:tc>
          <w:tcPr>
            <w:tcW w:type="dxa" w:w="2030"/>
            <w:vAlign w:val="center"/>
            <w:shd w:fill="262C32"/>
          </w:tcPr>
          <w:p>
            <w:pPr>
              <w:spacing w:before="60" w:after="60"/>
            </w:pPr>
            <w:r>
              <w:rPr>
                <w:rFonts w:ascii="Arial" w:hAnsi="Arial"/>
                <w:b/>
                <w:color w:val="FFFFFF"/>
                <w:sz w:val="16"/>
              </w:rPr>
              <w:t>August 2025</w:t>
            </w:r>
          </w:p>
        </w:tc>
        <w:tc>
          <w:tcPr>
            <w:tcW w:type="dxa" w:w="2030"/>
            <w:vAlign w:val="center"/>
            <w:shd w:fill="262C32"/>
          </w:tcPr>
          <w:p>
            <w:pPr>
              <w:spacing w:before="60" w:after="60"/>
            </w:pPr>
            <w:r>
              <w:rPr>
                <w:rFonts w:ascii="Arial" w:hAnsi="Arial"/>
                <w:b/>
                <w:color w:val="FFFFFF"/>
                <w:sz w:val="16"/>
              </w:rPr>
              <w:t>August 2026</w:t>
            </w:r>
          </w:p>
        </w:tc>
        <w:tc>
          <w:tcPr>
            <w:tcW w:type="dxa" w:w="1642"/>
            <w:vAlign w:val="center"/>
            <w:shd w:fill="262C32"/>
          </w:tcPr>
          <w:p>
            <w:pPr>
              <w:spacing w:before="60" w:after="60"/>
            </w:pPr>
            <w:r>
              <w:rPr>
                <w:rFonts w:ascii="Arial" w:hAnsi="Arial"/>
                <w:b/>
                <w:color w:val="FFFFFF"/>
                <w:sz w:val="16"/>
              </w:rPr>
              <w:t>Change</w:t>
            </w:r>
          </w:p>
        </w:tc>
      </w:tr>
      <w:tr>
        <w:tc>
          <w:tcPr>
            <w:tcW w:type="dxa" w:w="3312"/>
            <w:vAlign w:val="center"/>
          </w:tcPr>
          <w:p>
            <w:pPr>
              <w:spacing w:before="40" w:after="40"/>
            </w:pPr>
            <w:r>
              <w:rPr>
                <w:rFonts w:ascii="Arial" w:hAnsi="Arial"/>
                <w:color w:val="20252B"/>
                <w:sz w:val="16"/>
              </w:rPr>
              <w:t>Closed sales</w:t>
            </w:r>
          </w:p>
        </w:tc>
        <w:tc>
          <w:tcPr>
            <w:tcW w:type="dxa" w:w="2030"/>
            <w:vAlign w:val="center"/>
          </w:tcPr>
          <w:p>
            <w:pPr>
              <w:spacing w:before="40" w:after="40"/>
            </w:pPr>
            <w:r>
              <w:rPr>
                <w:rFonts w:ascii="Arial" w:hAnsi="Arial"/>
                <w:color w:val="20252B"/>
                <w:sz w:val="16"/>
              </w:rPr>
              <w:t>812</w:t>
            </w:r>
          </w:p>
        </w:tc>
        <w:tc>
          <w:tcPr>
            <w:tcW w:type="dxa" w:w="2030"/>
            <w:vAlign w:val="center"/>
          </w:tcPr>
          <w:p>
            <w:pPr>
              <w:spacing w:before="40" w:after="40"/>
            </w:pPr>
            <w:r>
              <w:rPr>
                <w:rFonts w:ascii="Arial" w:hAnsi="Arial"/>
                <w:color w:val="20252B"/>
                <w:sz w:val="16"/>
              </w:rPr>
              <w:t>749</w:t>
            </w:r>
          </w:p>
        </w:tc>
        <w:tc>
          <w:tcPr>
            <w:tcW w:type="dxa" w:w="1642"/>
            <w:vAlign w:val="center"/>
          </w:tcPr>
          <w:p>
            <w:pPr>
              <w:spacing w:before="40" w:after="40"/>
            </w:pPr>
            <w:r>
              <w:rPr>
                <w:rFonts w:ascii="Arial" w:hAnsi="Arial"/>
                <w:color w:val="20252B"/>
                <w:sz w:val="16"/>
              </w:rPr>
              <w:t>−7.8%</w:t>
            </w:r>
          </w:p>
        </w:tc>
      </w:tr>
      <w:tr>
        <w:tc>
          <w:tcPr>
            <w:tcW w:type="dxa" w:w="3312"/>
            <w:vAlign w:val="center"/>
            <w:shd w:fill="F2F3F2"/>
          </w:tcPr>
          <w:p>
            <w:pPr>
              <w:spacing w:before="40" w:after="40"/>
            </w:pPr>
            <w:r>
              <w:rPr>
                <w:rFonts w:ascii="Arial" w:hAnsi="Arial"/>
                <w:color w:val="20252B"/>
                <w:sz w:val="16"/>
              </w:rPr>
              <w:t>Median sold price</w:t>
            </w:r>
          </w:p>
        </w:tc>
        <w:tc>
          <w:tcPr>
            <w:tcW w:type="dxa" w:w="2030"/>
            <w:vAlign w:val="center"/>
            <w:shd w:fill="F2F3F2"/>
          </w:tcPr>
          <w:p>
            <w:pPr>
              <w:spacing w:before="40" w:after="40"/>
            </w:pPr>
            <w:r>
              <w:rPr>
                <w:rFonts w:ascii="Arial" w:hAnsi="Arial"/>
                <w:color w:val="20252B"/>
                <w:sz w:val="16"/>
              </w:rPr>
              <w:t>$379,995</w:t>
            </w:r>
          </w:p>
        </w:tc>
        <w:tc>
          <w:tcPr>
            <w:tcW w:type="dxa" w:w="2030"/>
            <w:vAlign w:val="center"/>
            <w:shd w:fill="F2F3F2"/>
          </w:tcPr>
          <w:p>
            <w:pPr>
              <w:spacing w:before="40" w:after="40"/>
            </w:pPr>
            <w:r>
              <w:rPr>
                <w:rFonts w:ascii="Arial" w:hAnsi="Arial"/>
                <w:color w:val="20252B"/>
                <w:sz w:val="16"/>
              </w:rPr>
              <w:t>$385,000</w:t>
            </w:r>
          </w:p>
        </w:tc>
        <w:tc>
          <w:tcPr>
            <w:tcW w:type="dxa" w:w="1642"/>
            <w:vAlign w:val="center"/>
            <w:shd w:fill="F2F3F2"/>
          </w:tcPr>
          <w:p>
            <w:pPr>
              <w:spacing w:before="40" w:after="40"/>
            </w:pPr>
            <w:r>
              <w:rPr>
                <w:rFonts w:ascii="Arial" w:hAnsi="Arial"/>
                <w:color w:val="20252B"/>
                <w:sz w:val="16"/>
              </w:rPr>
              <w:t>+1.3%</w:t>
            </w:r>
          </w:p>
        </w:tc>
      </w:tr>
      <w:tr>
        <w:tc>
          <w:tcPr>
            <w:tcW w:type="dxa" w:w="3312"/>
            <w:vAlign w:val="center"/>
          </w:tcPr>
          <w:p>
            <w:pPr>
              <w:spacing w:before="40" w:after="40"/>
            </w:pPr>
            <w:r>
              <w:rPr>
                <w:rFonts w:ascii="Arial" w:hAnsi="Arial"/>
                <w:color w:val="20252B"/>
                <w:sz w:val="16"/>
              </w:rPr>
              <w:t>Active listings</w:t>
            </w:r>
          </w:p>
        </w:tc>
        <w:tc>
          <w:tcPr>
            <w:tcW w:type="dxa" w:w="2030"/>
            <w:vAlign w:val="center"/>
          </w:tcPr>
          <w:p>
            <w:pPr>
              <w:spacing w:before="40" w:after="40"/>
            </w:pPr>
            <w:r>
              <w:rPr>
                <w:rFonts w:ascii="Arial" w:hAnsi="Arial"/>
                <w:color w:val="20252B"/>
                <w:sz w:val="16"/>
              </w:rPr>
              <w:t>2,215</w:t>
            </w:r>
          </w:p>
        </w:tc>
        <w:tc>
          <w:tcPr>
            <w:tcW w:type="dxa" w:w="2030"/>
            <w:vAlign w:val="center"/>
          </w:tcPr>
          <w:p>
            <w:pPr>
              <w:spacing w:before="40" w:after="40"/>
            </w:pPr>
            <w:r>
              <w:rPr>
                <w:rFonts w:ascii="Arial" w:hAnsi="Arial"/>
                <w:color w:val="20252B"/>
                <w:sz w:val="16"/>
              </w:rPr>
              <w:t>2,285</w:t>
            </w:r>
          </w:p>
        </w:tc>
        <w:tc>
          <w:tcPr>
            <w:tcW w:type="dxa" w:w="1642"/>
            <w:vAlign w:val="center"/>
          </w:tcPr>
          <w:p>
            <w:pPr>
              <w:spacing w:before="40" w:after="40"/>
            </w:pPr>
            <w:r>
              <w:rPr>
                <w:rFonts w:ascii="Arial" w:hAnsi="Arial"/>
                <w:color w:val="20252B"/>
                <w:sz w:val="16"/>
              </w:rPr>
              <w:t>+3.2%</w:t>
            </w:r>
          </w:p>
        </w:tc>
      </w:tr>
      <w:tr>
        <w:tc>
          <w:tcPr>
            <w:tcW w:type="dxa" w:w="3312"/>
            <w:vAlign w:val="center"/>
            <w:shd w:fill="F2F3F2"/>
          </w:tcPr>
          <w:p>
            <w:pPr>
              <w:spacing w:before="40" w:after="40"/>
            </w:pPr>
            <w:r>
              <w:rPr>
                <w:rFonts w:ascii="Arial" w:hAnsi="Arial"/>
                <w:color w:val="20252B"/>
                <w:sz w:val="16"/>
              </w:rPr>
              <w:t>Months of supply</w:t>
            </w:r>
          </w:p>
        </w:tc>
        <w:tc>
          <w:tcPr>
            <w:tcW w:type="dxa" w:w="2030"/>
            <w:vAlign w:val="center"/>
            <w:shd w:fill="F2F3F2"/>
          </w:tcPr>
          <w:p>
            <w:pPr>
              <w:spacing w:before="40" w:after="40"/>
            </w:pPr>
            <w:r>
              <w:rPr>
                <w:rFonts w:ascii="Arial" w:hAnsi="Arial"/>
                <w:color w:val="20252B"/>
                <w:sz w:val="16"/>
              </w:rPr>
              <w:t>2.7</w:t>
            </w:r>
          </w:p>
        </w:tc>
        <w:tc>
          <w:tcPr>
            <w:tcW w:type="dxa" w:w="2030"/>
            <w:vAlign w:val="center"/>
            <w:shd w:fill="F2F3F2"/>
          </w:tcPr>
          <w:p>
            <w:pPr>
              <w:spacing w:before="40" w:after="40"/>
            </w:pPr>
            <w:r>
              <w:rPr>
                <w:rFonts w:ascii="Arial" w:hAnsi="Arial"/>
                <w:color w:val="20252B"/>
                <w:sz w:val="16"/>
              </w:rPr>
              <w:t>3.1</w:t>
            </w:r>
          </w:p>
        </w:tc>
        <w:tc>
          <w:tcPr>
            <w:tcW w:type="dxa" w:w="1642"/>
            <w:vAlign w:val="center"/>
            <w:shd w:fill="F2F3F2"/>
          </w:tcPr>
          <w:p>
            <w:pPr>
              <w:spacing w:before="40" w:after="40"/>
            </w:pPr>
            <w:r>
              <w:rPr>
                <w:rFonts w:ascii="Arial" w:hAnsi="Arial"/>
                <w:color w:val="20252B"/>
                <w:sz w:val="16"/>
              </w:rPr>
              <w:t>+11.8%</w:t>
            </w:r>
          </w:p>
        </w:tc>
      </w:tr>
      <w:tr>
        <w:tc>
          <w:tcPr>
            <w:tcW w:type="dxa" w:w="3312"/>
            <w:vAlign w:val="center"/>
          </w:tcPr>
          <w:p>
            <w:pPr>
              <w:spacing w:before="40" w:after="40"/>
            </w:pPr>
            <w:r>
              <w:rPr>
                <w:rFonts w:ascii="Arial" w:hAnsi="Arial"/>
                <w:color w:val="20252B"/>
                <w:sz w:val="16"/>
              </w:rPr>
              <w:t>Median days on market</w:t>
            </w:r>
          </w:p>
        </w:tc>
        <w:tc>
          <w:tcPr>
            <w:tcW w:type="dxa" w:w="2030"/>
            <w:vAlign w:val="center"/>
          </w:tcPr>
          <w:p>
            <w:pPr>
              <w:spacing w:before="40" w:after="40"/>
            </w:pPr>
            <w:r>
              <w:rPr>
                <w:rFonts w:ascii="Arial" w:hAnsi="Arial"/>
                <w:color w:val="20252B"/>
                <w:sz w:val="16"/>
              </w:rPr>
              <w:t>18</w:t>
            </w:r>
          </w:p>
        </w:tc>
        <w:tc>
          <w:tcPr>
            <w:tcW w:type="dxa" w:w="2030"/>
            <w:vAlign w:val="center"/>
          </w:tcPr>
          <w:p>
            <w:pPr>
              <w:spacing w:before="40" w:after="40"/>
            </w:pPr>
            <w:r>
              <w:rPr>
                <w:rFonts w:ascii="Arial" w:hAnsi="Arial"/>
                <w:color w:val="20252B"/>
                <w:sz w:val="16"/>
              </w:rPr>
              <w:t>18</w:t>
            </w:r>
          </w:p>
        </w:tc>
        <w:tc>
          <w:tcPr>
            <w:tcW w:type="dxa" w:w="1642"/>
            <w:vAlign w:val="center"/>
          </w:tcPr>
          <w:p>
            <w:pPr>
              <w:spacing w:before="40" w:after="40"/>
            </w:pPr>
            <w:r>
              <w:rPr>
                <w:rFonts w:ascii="Arial" w:hAnsi="Arial"/>
                <w:color w:val="20252B"/>
                <w:sz w:val="16"/>
              </w:rPr>
              <w:t>0.0%</w:t>
            </w:r>
          </w:p>
        </w:tc>
      </w:tr>
      <w:tr>
        <w:tc>
          <w:tcPr>
            <w:tcW w:type="dxa" w:w="3312"/>
            <w:vAlign w:val="center"/>
            <w:shd w:fill="F2F3F2"/>
          </w:tcPr>
          <w:p>
            <w:pPr>
              <w:spacing w:before="40" w:after="40"/>
            </w:pPr>
            <w:r>
              <w:rPr>
                <w:rFonts w:ascii="Arial" w:hAnsi="Arial"/>
                <w:color w:val="20252B"/>
                <w:sz w:val="16"/>
              </w:rPr>
              <w:t>YTD closed sales</w:t>
            </w:r>
          </w:p>
        </w:tc>
        <w:tc>
          <w:tcPr>
            <w:tcW w:type="dxa" w:w="2030"/>
            <w:vAlign w:val="center"/>
            <w:shd w:fill="F2F3F2"/>
          </w:tcPr>
          <w:p>
            <w:pPr>
              <w:spacing w:before="40" w:after="40"/>
            </w:pPr>
            <w:r>
              <w:rPr>
                <w:rFonts w:ascii="Arial" w:hAnsi="Arial"/>
                <w:color w:val="20252B"/>
                <w:sz w:val="16"/>
              </w:rPr>
              <w:t>6,258</w:t>
            </w:r>
          </w:p>
        </w:tc>
        <w:tc>
          <w:tcPr>
            <w:tcW w:type="dxa" w:w="2030"/>
            <w:vAlign w:val="center"/>
            <w:shd w:fill="F2F3F2"/>
          </w:tcPr>
          <w:p>
            <w:pPr>
              <w:spacing w:before="40" w:after="40"/>
            </w:pPr>
            <w:r>
              <w:rPr>
                <w:rFonts w:ascii="Arial" w:hAnsi="Arial"/>
                <w:color w:val="20252B"/>
                <w:sz w:val="16"/>
              </w:rPr>
              <w:t>6,235</w:t>
            </w:r>
          </w:p>
        </w:tc>
        <w:tc>
          <w:tcPr>
            <w:tcW w:type="dxa" w:w="1642"/>
            <w:vAlign w:val="center"/>
            <w:shd w:fill="F2F3F2"/>
          </w:tcPr>
          <w:p>
            <w:pPr>
              <w:spacing w:before="40" w:after="40"/>
            </w:pPr>
            <w:r>
              <w:rPr>
                <w:rFonts w:ascii="Arial" w:hAnsi="Arial"/>
                <w:color w:val="20252B"/>
                <w:sz w:val="16"/>
              </w:rPr>
              <w:t>−0.4%</w:t>
            </w:r>
          </w:p>
        </w:tc>
      </w:tr>
      <w:tr>
        <w:tc>
          <w:tcPr>
            <w:tcW w:type="dxa" w:w="3312"/>
            <w:vAlign w:val="center"/>
          </w:tcPr>
          <w:p>
            <w:pPr>
              <w:spacing w:before="40" w:after="40"/>
            </w:pPr>
            <w:r>
              <w:rPr>
                <w:rFonts w:ascii="Arial" w:hAnsi="Arial"/>
                <w:color w:val="20252B"/>
                <w:sz w:val="16"/>
              </w:rPr>
              <w:t>YTD median sold price</w:t>
            </w:r>
          </w:p>
        </w:tc>
        <w:tc>
          <w:tcPr>
            <w:tcW w:type="dxa" w:w="2030"/>
            <w:vAlign w:val="center"/>
          </w:tcPr>
          <w:p>
            <w:pPr>
              <w:spacing w:before="40" w:after="40"/>
            </w:pPr>
            <w:r>
              <w:rPr>
                <w:rFonts w:ascii="Arial" w:hAnsi="Arial"/>
                <w:color w:val="20252B"/>
                <w:sz w:val="16"/>
              </w:rPr>
              <w:t>$370,000</w:t>
            </w:r>
          </w:p>
        </w:tc>
        <w:tc>
          <w:tcPr>
            <w:tcW w:type="dxa" w:w="2030"/>
            <w:vAlign w:val="center"/>
          </w:tcPr>
          <w:p>
            <w:pPr>
              <w:spacing w:before="40" w:after="40"/>
            </w:pPr>
            <w:r>
              <w:rPr>
                <w:rFonts w:ascii="Arial" w:hAnsi="Arial"/>
                <w:color w:val="20252B"/>
                <w:sz w:val="16"/>
              </w:rPr>
              <w:t>$379,700</w:t>
            </w:r>
          </w:p>
        </w:tc>
        <w:tc>
          <w:tcPr>
            <w:tcW w:type="dxa" w:w="1642"/>
            <w:vAlign w:val="center"/>
          </w:tcPr>
          <w:p>
            <w:pPr>
              <w:spacing w:before="40" w:after="40"/>
            </w:pPr>
            <w:r>
              <w:rPr>
                <w:rFonts w:ascii="Arial" w:hAnsi="Arial"/>
                <w:color w:val="20252B"/>
                <w:sz w:val="16"/>
              </w:rPr>
              <w:t>+2.6%</w:t>
            </w:r>
          </w:p>
        </w:tc>
      </w:tr>
    </w:tbl>
    <w:p>
      <w:pPr>
        <w:spacing w:after="0"/>
      </w:pPr>
    </w:p>
    <w:p>
      <w:pPr>
        <w:pStyle w:val="SmallNote"/>
      </w:pPr>
      <w:r>
        <w:t>Source: Southwest MLS / Domus Analytics, August 2026 market summary, detached properties across Bernalillo, Sandoval, Santa Fe, Socorro, Torrance and Valencia counties [10].</w:t>
      </w:r>
    </w:p>
    <w:p>
      <w:r>
        <w:t>Attached housing is softer still: August closings fell 25.3% (91 to 68) and median sold price dropped 10.6% (from $288,000 to $257,500). Because the attached segment is much smaller, its month-to-month medians can shift with the mix of homes sold. [10]</w:t>
      </w:r>
    </w:p>
    <w:p>
      <w:pPr>
        <w:pStyle w:val="Heading2"/>
      </w:pPr>
      <w:r>
        <w:t>What the rate shock costs a buyer</w:t>
      </w:r>
    </w:p>
    <w:p>
      <w:pPr>
        <w:pStyle w:val="FigureCaption"/>
      </w:pPr>
      <w:r>
        <w:t>FIGURE 4  |  Principal and interest per month on an Albuquerque median-priced detached home</w:t>
      </w:r>
    </w:p>
    <w:p>
      <w:pPr>
        <w:spacing w:after="60"/>
        <w:jc w:val="center"/>
      </w:pPr>
      <w:r>
        <w:drawing>
          <wp:inline xmlns:a="http://schemas.openxmlformats.org/drawingml/2006/main" xmlns:pic="http://schemas.openxmlformats.org/drawingml/2006/picture">
            <wp:extent cx="6272784" cy="1796891"/>
            <wp:docPr id="4" name="Picture 4"/>
            <wp:cNvGraphicFramePr>
              <a:graphicFrameLocks noChangeAspect="1"/>
            </wp:cNvGraphicFramePr>
            <a:graphic>
              <a:graphicData uri="http://schemas.openxmlformats.org/drawingml/2006/picture">
                <pic:pic>
                  <pic:nvPicPr>
                    <pic:cNvPr id="0" name="figure4_payment.png"/>
                    <pic:cNvPicPr/>
                  </pic:nvPicPr>
                  <pic:blipFill>
                    <a:blip r:embed="rId14"/>
                    <a:stretch>
                      <a:fillRect/>
                    </a:stretch>
                  </pic:blipFill>
                  <pic:spPr>
                    <a:xfrm>
                      <a:off x="0" y="0"/>
                      <a:ext cx="6272784" cy="1796891"/>
                    </a:xfrm>
                    <a:prstGeom prst="rect"/>
                  </pic:spPr>
                </pic:pic>
              </a:graphicData>
            </a:graphic>
          </wp:inline>
        </w:drawing>
      </w:r>
    </w:p>
    <w:p>
      <w:pPr>
        <w:pStyle w:val="SmallNote"/>
      </w:pPr>
      <w:r>
        <w:t>Illustration: $385,000 home, 20% down, $308,000 fixed principal, 30-year amortization. Excludes tax, insurance, HOA dues, PMI and closing costs. Rate scenarios are illustrative; 7.40% is Freddie Mac’s Oct 8 reading [1, 10].</w:t>
      </w:r>
    </w:p>
    <w:p>
      <w:r>
        <w:t>Moving from 6.0% to 7.4% adds roughly $286 a month to this loan—about $3,430 a year—without changing the sale price. From the 2021 average of 2.96% to 7.4%, monthly principal and interest is roughly 65% higher. These calculations explain why a small reduction in list price may do little to restore affordability.</w:t>
      </w:r>
    </w:p>
    <w:p>
      <w:r>
        <w:t>September’s broader online listing data add a later warning: 2,313 active listings (+4.8% year on year), a median listing age of 67 days and price cuts on 25.6% of advertisements. Those 67 days are the age of CURRENT listings, not the 18-day median for detached homes that closed in August. [9, 10]</w:t>
      </w:r>
    </w:p>
    <w:p>
      <w:r>
        <w:br w:type="page"/>
      </w:r>
    </w:p>
    <w:p>
      <w:pPr>
        <w:pStyle w:val="Kicker"/>
      </w:pPr>
      <w:r>
        <w:t>OUTLOOK  /  NEXT 6–12 MONTHS</w:t>
      </w:r>
    </w:p>
    <w:p>
      <w:pPr>
        <w:pStyle w:val="Heading1"/>
      </w:pPr>
      <w:r>
        <w:t>Three ways the stalemate could end</w:t>
      </w:r>
    </w:p>
    <w:p>
      <w:r>
        <w:t>A forecast is a map of contingencies, not a promised mortgage quote or a prediction of the Fed’s next decision. The following scenarios consider the influence of sustained rate conditions into early or mid-2027, with employment, incomes and available supply held broadly stable.</w:t>
      </w:r>
    </w:p>
    <w:tbl>
      <w:tblPr>
        <w:tblW w:type="auto" w:w="0"/>
        <w:jc w:val="center"/>
        <w:tblLayout w:type="fixed"/>
        <w:tblLook w:firstColumn="1" w:firstRow="1" w:lastColumn="0" w:lastRow="0" w:noHBand="0" w:noVBand="1" w:val="04A0"/>
      </w:tblPr>
      <w:tblGrid>
        <w:gridCol w:w="3312"/>
        <w:gridCol w:w="3312"/>
        <w:gridCol w:w="3312"/>
      </w:tblGrid>
      <w:tr>
        <w:trPr>
          <w:tblHeader/>
        </w:trPr>
        <w:tc>
          <w:tcPr>
            <w:tcW w:type="dxa" w:w="3168"/>
            <w:vAlign w:val="center"/>
            <w:shd w:fill="262C32"/>
          </w:tcPr>
          <w:p>
            <w:pPr>
              <w:spacing w:before="60" w:after="60"/>
            </w:pPr>
            <w:r>
              <w:rPr>
                <w:rFonts w:ascii="Arial" w:hAnsi="Arial"/>
                <w:b/>
                <w:color w:val="FFFFFF"/>
                <w:sz w:val="15"/>
              </w:rPr>
              <w:t>Scenario / rate environment</w:t>
            </w:r>
          </w:p>
        </w:tc>
        <w:tc>
          <w:tcPr>
            <w:tcW w:type="dxa" w:w="3341"/>
            <w:vAlign w:val="center"/>
            <w:shd w:fill="262C32"/>
          </w:tcPr>
          <w:p>
            <w:pPr>
              <w:spacing w:before="60" w:after="60"/>
            </w:pPr>
            <w:r>
              <w:rPr>
                <w:rFonts w:ascii="Arial" w:hAnsi="Arial"/>
                <w:b/>
                <w:color w:val="FFFFFF"/>
                <w:sz w:val="15"/>
              </w:rPr>
              <w:t>Likely volume outcome</w:t>
            </w:r>
          </w:p>
        </w:tc>
        <w:tc>
          <w:tcPr>
            <w:tcW w:type="dxa" w:w="3398"/>
            <w:vAlign w:val="center"/>
            <w:shd w:fill="262C32"/>
          </w:tcPr>
          <w:p>
            <w:pPr>
              <w:spacing w:before="60" w:after="60"/>
            </w:pPr>
            <w:r>
              <w:rPr>
                <w:rFonts w:ascii="Arial" w:hAnsi="Arial"/>
                <w:b/>
                <w:color w:val="FFFFFF"/>
                <w:sz w:val="15"/>
              </w:rPr>
              <w:t>Likely price / negotiation outcome</w:t>
            </w:r>
          </w:p>
        </w:tc>
      </w:tr>
      <w:tr>
        <w:tc>
          <w:tcPr>
            <w:tcW w:type="dxa" w:w="3168"/>
            <w:vAlign w:val="center"/>
          </w:tcPr>
          <w:p>
            <w:pPr>
              <w:spacing w:before="40" w:after="40"/>
            </w:pPr>
            <w:r>
              <w:rPr>
                <w:rFonts w:ascii="Arial" w:hAnsi="Arial"/>
                <w:color w:val="20252B"/>
                <w:sz w:val="15"/>
              </w:rPr>
              <w:t>High-for-longer  •  roughly 6.75–7.50%</w:t>
            </w:r>
          </w:p>
        </w:tc>
        <w:tc>
          <w:tcPr>
            <w:tcW w:type="dxa" w:w="3341"/>
            <w:vAlign w:val="center"/>
          </w:tcPr>
          <w:p>
            <w:pPr>
              <w:spacing w:before="40" w:after="40"/>
            </w:pPr>
            <w:r>
              <w:rPr>
                <w:rFonts w:ascii="Arial" w:hAnsi="Arial"/>
                <w:color w:val="20252B"/>
                <w:sz w:val="15"/>
              </w:rPr>
              <w:t>Slow turnover persists; purchases sensitive to any new rate shock.</w:t>
            </w:r>
          </w:p>
        </w:tc>
        <w:tc>
          <w:tcPr>
            <w:tcW w:type="dxa" w:w="3398"/>
            <w:vAlign w:val="center"/>
          </w:tcPr>
          <w:p>
            <w:pPr>
              <w:spacing w:before="40" w:after="40"/>
            </w:pPr>
            <w:r>
              <w:rPr>
                <w:rFonts w:ascii="Arial" w:hAnsi="Arial"/>
                <w:color w:val="20252B"/>
                <w:sz w:val="15"/>
              </w:rPr>
              <w:t>More price resets and seller concessions; uneven nominal prices.</w:t>
            </w:r>
          </w:p>
        </w:tc>
      </w:tr>
      <w:tr>
        <w:tc>
          <w:tcPr>
            <w:tcW w:type="dxa" w:w="3168"/>
            <w:vAlign w:val="center"/>
            <w:shd w:fill="F2F3F2"/>
          </w:tcPr>
          <w:p>
            <w:pPr>
              <w:spacing w:before="40" w:after="40"/>
            </w:pPr>
            <w:r>
              <w:rPr>
                <w:rFonts w:ascii="Arial" w:hAnsi="Arial"/>
                <w:color w:val="20252B"/>
                <w:sz w:val="15"/>
              </w:rPr>
              <w:t>Meaningful relief  •  about 6.0–6.5%</w:t>
            </w:r>
          </w:p>
        </w:tc>
        <w:tc>
          <w:tcPr>
            <w:tcW w:type="dxa" w:w="3341"/>
            <w:vAlign w:val="center"/>
            <w:shd w:fill="F2F3F2"/>
          </w:tcPr>
          <w:p>
            <w:pPr>
              <w:spacing w:before="40" w:after="40"/>
            </w:pPr>
            <w:r>
              <w:rPr>
                <w:rFonts w:ascii="Arial" w:hAnsi="Arial"/>
                <w:color w:val="20252B"/>
                <w:sz w:val="15"/>
              </w:rPr>
              <w:t>Qualification improves, pending sales and showings should rise before closings.</w:t>
            </w:r>
          </w:p>
        </w:tc>
        <w:tc>
          <w:tcPr>
            <w:tcW w:type="dxa" w:w="3398"/>
            <w:vAlign w:val="center"/>
            <w:shd w:fill="F2F3F2"/>
          </w:tcPr>
          <w:p>
            <w:pPr>
              <w:spacing w:before="40" w:after="40"/>
            </w:pPr>
            <w:r>
              <w:rPr>
                <w:rFonts w:ascii="Arial" w:hAnsi="Arial"/>
                <w:color w:val="20252B"/>
                <w:sz w:val="15"/>
              </w:rPr>
              <w:t>Better liquidity; popular submarkets may firm before regional medians respond.</w:t>
            </w:r>
          </w:p>
        </w:tc>
      </w:tr>
      <w:tr>
        <w:tc>
          <w:tcPr>
            <w:tcW w:type="dxa" w:w="3168"/>
            <w:vAlign w:val="center"/>
          </w:tcPr>
          <w:p>
            <w:pPr>
              <w:spacing w:before="40" w:after="40"/>
            </w:pPr>
            <w:r>
              <w:rPr>
                <w:rFonts w:ascii="Arial" w:hAnsi="Arial"/>
                <w:color w:val="20252B"/>
                <w:sz w:val="15"/>
              </w:rPr>
              <w:t>Renewed squeeze  •  7.75% or above</w:t>
            </w:r>
          </w:p>
        </w:tc>
        <w:tc>
          <w:tcPr>
            <w:tcW w:type="dxa" w:w="3341"/>
            <w:vAlign w:val="center"/>
          </w:tcPr>
          <w:p>
            <w:pPr>
              <w:spacing w:before="40" w:after="40"/>
            </w:pPr>
            <w:r>
              <w:rPr>
                <w:rFonts w:ascii="Arial" w:hAnsi="Arial"/>
                <w:color w:val="20252B"/>
                <w:sz w:val="15"/>
              </w:rPr>
              <w:t>Financed activity weakens further; discretionary moves deferred.</w:t>
            </w:r>
          </w:p>
        </w:tc>
        <w:tc>
          <w:tcPr>
            <w:tcW w:type="dxa" w:w="3398"/>
            <w:vAlign w:val="center"/>
          </w:tcPr>
          <w:p>
            <w:pPr>
              <w:spacing w:before="40" w:after="40"/>
            </w:pPr>
            <w:r>
              <w:rPr>
                <w:rFonts w:ascii="Arial" w:hAnsi="Arial"/>
                <w:color w:val="20252B"/>
                <w:sz w:val="15"/>
              </w:rPr>
              <w:t>Discount pressure concentrates in long-listed homes and high-supply subdivisions.</w:t>
            </w:r>
          </w:p>
        </w:tc>
      </w:tr>
    </w:tbl>
    <w:p>
      <w:pPr>
        <w:spacing w:after="0"/>
      </w:pPr>
    </w:p>
    <w:p>
      <w:pPr>
        <w:pStyle w:val="SmallNote"/>
      </w:pPr>
      <w:r>
        <w:t>These thresholds are illustrative policy-neutral scenarios, not point forecasts. The watch-list is practical: weekly Freddie Mac rates; mortgage purchase applications; signed contracts and closed sales; months of inventory; share and depth of price cuts; and median time to contract. Compare like property types and consistent geographies. [1, 4, 8–10]</w:t>
      </w:r>
    </w:p>
    <w:p>
      <w:pPr>
        <w:pStyle w:val="Heading2"/>
      </w:pPr>
      <w:r>
        <w:t>Implications for an Albuquerque real-estate strategy</w:t>
      </w:r>
    </w:p>
    <w:p>
      <w:r>
        <w:t>For sellers: price against current competing inventory rather than peak-era closings, and examine a targeted temporary rate buydown against an equivalent price reduction. For buyers: negotiate both price and payment, and avoid treating a quoted rate as permanent until it is locked. For residential investors: stress-test rents, insurance, taxes, refinance proceeds and exit cap rates at borrowing costs above current owner-occupied benchmarks. A weaker owner-occupier purchase market can support rental demand even while higher debt costs make rental acquisitions harder.</w:t>
      </w:r>
    </w:p>
    <w:p>
      <w:pPr>
        <w:pStyle w:val="Heading2"/>
      </w:pPr>
      <w:r>
        <w:t>Sources and method</w:t>
      </w:r>
    </w:p>
    <w:p>
      <w:pPr>
        <w:pStyle w:val="SmallNote"/>
      </w:pPr>
      <w:r>
        <w:t>Method: 27 full years (1999–2025) of simple calendar-year averages of Freddie Mac PMMS weekly national 30-year fixed rates, compiled from FRED. The 2026 7.40% figure is a single weekly point. National annual resale volumes are counts, whereas August 2026 national sales are quoted as a seasonally adjusted annualized pace. Metro list-price data, SWMLS closed-sales figures and active-listing days on market have distinct denominators and should not be equated. Source pages and links below were accessed 11 October 2026.</w:t>
      </w:r>
    </w:p>
    <w:p>
      <w:pPr>
        <w:pStyle w:val="Source"/>
        <w:ind w:left="288" w:hanging="288"/>
      </w:pPr>
      <w:r>
        <w:rPr>
          <w:b/>
        </w:rPr>
        <w:t xml:space="preserve">[1]  Freddie Mac, Primary Mortgage Market Survey (2026 archive).  </w:t>
      </w:r>
      <w:hyperlink r:id="rId15">
        <w:r>
          <w:rPr>
            <w:color w:val="234F6D"/>
            <w:u w:val="single"/>
          </w:rPr>
          <w:t>https://www.freddiemac.com/pmms/archive?year=2026</w:t>
        </w:r>
      </w:hyperlink>
    </w:p>
    <w:p>
      <w:pPr>
        <w:pStyle w:val="Source"/>
        <w:ind w:left="288" w:hanging="288"/>
      </w:pPr>
      <w:r>
        <w:rPr>
          <w:b/>
        </w:rPr>
        <w:t xml:space="preserve">[2]  Freddie Mac PMMS / FRED annual series (CalculatorHub replication).  </w:t>
      </w:r>
      <w:hyperlink r:id="rId16">
        <w:r>
          <w:rPr>
            <w:color w:val="234F6D"/>
            <w:u w:val="single"/>
          </w:rPr>
          <w:t>https://calculatorhub.com/us/mortgage-rate-history/</w:t>
        </w:r>
      </w:hyperlink>
    </w:p>
    <w:p>
      <w:pPr>
        <w:pStyle w:val="Source"/>
        <w:ind w:left="288" w:hanging="288"/>
      </w:pPr>
      <w:r>
        <w:rPr>
          <w:b/>
        </w:rPr>
        <w:t xml:space="preserve">[3]  Reuters, US mortgage rates and weekly applications, 7 October 2026.  </w:t>
      </w:r>
      <w:hyperlink r:id="rId17">
        <w:r>
          <w:rPr>
            <w:color w:val="234F6D"/>
            <w:u w:val="single"/>
          </w:rPr>
          <w:t>https://www.reuters.com/world/us/us-30-year-mortgage-rate-hits-highest-nearly-three-years-2026-10-07/</w:t>
        </w:r>
      </w:hyperlink>
    </w:p>
    <w:p>
      <w:pPr>
        <w:pStyle w:val="Source"/>
        <w:ind w:left="288" w:hanging="288"/>
      </w:pPr>
      <w:r>
        <w:rPr>
          <w:b/>
        </w:rPr>
        <w:t xml:space="preserve">[4]  NAR, August 2026 existing-home sales, 10 September.  </w:t>
      </w:r>
      <w:hyperlink r:id="rId18">
        <w:r>
          <w:rPr>
            <w:color w:val="234F6D"/>
            <w:u w:val="single"/>
          </w:rPr>
          <w:t>https://www.nar.realtor/newsroom/nar-existing-home-sales-report-shows-2-0-decrease-in-august</w:t>
        </w:r>
      </w:hyperlink>
    </w:p>
    <w:p>
      <w:pPr>
        <w:pStyle w:val="Source"/>
        <w:ind w:left="288" w:hanging="288"/>
      </w:pPr>
      <w:r>
        <w:rPr>
          <w:b/>
        </w:rPr>
        <w:t xml:space="preserve">[5]  Realtor.com, 2025 annual existing-home sales, 14 January 2026.  </w:t>
      </w:r>
      <w:hyperlink r:id="rId19">
        <w:r>
          <w:rPr>
            <w:color w:val="234F6D"/>
            <w:u w:val="single"/>
          </w:rPr>
          <w:t>https://www.realtor.com/research/existing-home-sales-december-2025/</w:t>
        </w:r>
      </w:hyperlink>
    </w:p>
    <w:p>
      <w:pPr>
        <w:pStyle w:val="Source"/>
        <w:ind w:left="288" w:hanging="288"/>
      </w:pPr>
      <w:r>
        <w:rPr>
          <w:b/>
        </w:rPr>
        <w:t xml:space="preserve">[6]  NAR, historical housing sales figures, midyear outlook (2024).  </w:t>
      </w:r>
      <w:hyperlink r:id="rId20">
        <w:r>
          <w:rPr>
            <w:color w:val="234F6D"/>
            <w:u w:val="single"/>
          </w:rPr>
          <w:t>https://www.nar.realtor/sites/default/files/documents/real-estate-and-economic-outlook-midyear-nar-forecast-summit-lawrence-yun-presentation-slides-07-22-2024.pdf</w:t>
        </w:r>
      </w:hyperlink>
    </w:p>
    <w:p>
      <w:pPr>
        <w:pStyle w:val="Source"/>
        <w:ind w:left="288" w:hanging="288"/>
      </w:pPr>
      <w:r>
        <w:rPr>
          <w:b/>
        </w:rPr>
        <w:t xml:space="preserve">[7]  FHFA, geography and scale of mortgage lock-in, 30 August 2024.  </w:t>
      </w:r>
      <w:hyperlink r:id="rId21">
        <w:r>
          <w:rPr>
            <w:color w:val="234F6D"/>
            <w:u w:val="single"/>
          </w:rPr>
          <w:t>https://www.fhfa.gov/blog/statistics/the-geography-of-the-lock-in-effect-which-msas-are-most-locked-in</w:t>
        </w:r>
      </w:hyperlink>
    </w:p>
    <w:p>
      <w:pPr>
        <w:pStyle w:val="Source"/>
        <w:ind w:left="288" w:hanging="288"/>
      </w:pPr>
      <w:r>
        <w:rPr>
          <w:b/>
        </w:rPr>
        <w:t xml:space="preserve">[8]  Realtor.com, September 2026 housing trends.  </w:t>
      </w:r>
      <w:hyperlink r:id="rId22">
        <w:r>
          <w:rPr>
            <w:color w:val="234F6D"/>
            <w:u w:val="single"/>
          </w:rPr>
          <w:t>https://www.realtor.com/research/september-2026-data</w:t>
        </w:r>
      </w:hyperlink>
    </w:p>
    <w:p>
      <w:pPr>
        <w:pStyle w:val="Source"/>
        <w:ind w:left="288" w:hanging="288"/>
      </w:pPr>
      <w:r>
        <w:rPr>
          <w:b/>
        </w:rPr>
        <w:t xml:space="preserve">[9]  Realtor.com, Albuquerque September 2026 local market.  </w:t>
      </w:r>
      <w:hyperlink r:id="rId23">
        <w:r>
          <w:rPr>
            <w:color w:val="234F6D"/>
            <w:u w:val="single"/>
          </w:rPr>
          <w:t>https://www.realtor.com/news/local/albuquerque-nm/real-estate-market-albuquerque-nm-september-2026/</w:t>
        </w:r>
      </w:hyperlink>
    </w:p>
    <w:p>
      <w:pPr>
        <w:pStyle w:val="Source"/>
        <w:ind w:left="288" w:hanging="288"/>
      </w:pPr>
      <w:r>
        <w:rPr>
          <w:b/>
        </w:rPr>
        <w:t xml:space="preserve">[10]  GAAR / Southwest MLS, August 2026 detailed market report.  </w:t>
      </w:r>
      <w:hyperlink r:id="rId24">
        <w:r>
          <w:rPr>
            <w:color w:val="234F6D"/>
            <w:u w:val="single"/>
          </w:rPr>
          <w:t>https://www.gaar.com/images/uploads/statistics/Full_Market_Report_2026_08.pdf</w:t>
        </w:r>
      </w:hyperlink>
    </w:p>
    <w:p>
      <w:pPr>
        <w:pStyle w:val="Source"/>
        <w:ind w:left="288" w:hanging="288"/>
      </w:pPr>
      <w:r>
        <w:rPr>
          <w:b/>
        </w:rPr>
        <w:t xml:space="preserve">[11]  Freddie Mac, mortgage survey methodology changes (2022).  </w:t>
      </w:r>
      <w:hyperlink r:id="rId25">
        <w:r>
          <w:rPr>
            <w:color w:val="234F6D"/>
            <w:u w:val="single"/>
          </w:rPr>
          <w:t>https://www.freddiemac.com/research/insight/20221103-freddie-macs-newly-enhanced-mortgage-rate-survey</w:t>
        </w:r>
      </w:hyperlink>
    </w:p>
    <w:sectPr w:rsidR="00FC693F" w:rsidRPr="0006063C" w:rsidSect="00034616">
      <w:headerReference w:type="default" r:id="rId9"/>
      <w:footerReference w:type="default" r:id="rId10"/>
      <w:pgSz w:w="12240" w:h="15840"/>
      <w:pgMar w:top="950" w:right="1152" w:bottom="1008" w:left="1152" w:header="403"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5616D"/>
        <w:sz w:val="14"/>
      </w:rPr>
      <w:t xml:space="preserve">RESEARCH BRIEF  •  11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Bdr>
        <w:bottom w:val="single" w:sz="15" w:color="C8242D"/>
      </w:pBdr>
    </w:pPr>
    <w:r>
      <w:rPr>
        <w:rFonts w:ascii="Arial" w:hAnsi="Arial"/>
        <w:b/>
        <w:color w:val="55616D"/>
        <w:sz w:val="14"/>
      </w:rPr>
      <w:t>HOUSING &amp; FINANCE  /  RESEARCH NOTE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1" w:lineRule="auto"/>
    </w:pPr>
    <w:rPr>
      <w:rFonts w:ascii="Georgia" w:hAnsi="Georgia"/>
      <w:color w:val="20252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60"/>
      <w:outlineLvl w:val="0"/>
    </w:pPr>
    <w:rPr>
      <w:rFonts w:asciiTheme="majorHAnsi" w:eastAsiaTheme="majorEastAsia" w:hAnsiTheme="majorHAnsi" w:cstheme="majorBidi" w:ascii="Georgia" w:hAnsi="Georgia"/>
      <w:b/>
      <w:bCs/>
      <w:color w:val="20252B"/>
      <w:sz w:val="32"/>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Georgia" w:hAnsi="Georgia"/>
      <w:b/>
      <w:bCs/>
      <w:color w:val="C8242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Georgia" w:hAnsi="Georgia"/>
      <w:b w:val="0"/>
      <w:color w:val="20252B"/>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180"/>
    </w:pPr>
    <w:rPr>
      <w:rFonts w:ascii="Arial" w:hAnsi="Arial"/>
      <w:b/>
      <w:color w:val="C8242D"/>
      <w:sz w:val="16"/>
    </w:rPr>
  </w:style>
  <w:style w:type="paragraph" w:customStyle="1" w:styleId="Standfirst">
    <w:name w:val="Standfirst"/>
    <w:pPr>
      <w:spacing w:after="260"/>
    </w:pPr>
    <w:rPr>
      <w:rFonts w:ascii="Georgia" w:hAnsi="Georgia"/>
      <w:i/>
      <w:color w:val="55616D"/>
      <w:sz w:val="24"/>
    </w:rPr>
  </w:style>
  <w:style w:type="paragraph" w:customStyle="1" w:styleId="FigureCaption">
    <w:name w:val="FigureCaption"/>
    <w:pPr>
      <w:keepNext/>
      <w:spacing w:after="60"/>
    </w:pPr>
    <w:rPr>
      <w:rFonts w:ascii="Arial" w:hAnsi="Arial"/>
      <w:b/>
      <w:color w:val="20252B"/>
      <w:sz w:val="16"/>
    </w:rPr>
  </w:style>
  <w:style w:type="paragraph" w:customStyle="1" w:styleId="SmallNote">
    <w:name w:val="SmallNote"/>
    <w:pPr>
      <w:spacing w:after="120"/>
    </w:pPr>
    <w:rPr>
      <w:rFonts w:ascii="Arial" w:hAnsi="Arial"/>
      <w:color w:val="55616D"/>
      <w:sz w:val="15"/>
    </w:rPr>
  </w:style>
  <w:style w:type="paragraph" w:customStyle="1" w:styleId="Source">
    <w:name w:val="Source"/>
    <w:pPr>
      <w:spacing w:after="100"/>
    </w:pPr>
    <w:rPr>
      <w:rFonts w:ascii="Arial" w:hAnsi="Arial"/>
      <w:color w:val="20252B"/>
      <w:sz w:val="16"/>
    </w:rPr>
  </w:style>
  <w:style w:type="paragraph" w:customStyle="1" w:styleId="BigNumber">
    <w:name w:val="BigNumber"/>
    <w:pPr>
      <w:spacing w:after="20"/>
    </w:pPr>
    <w:rPr>
      <w:rFonts w:ascii="Arial" w:hAnsi="Arial"/>
      <w:b/>
      <w:color w:val="C8242D"/>
      <w:sz w:val="3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www.freddiemac.com/pmms/archive?year=2026" TargetMode="External"/><Relationship Id="rId16" Type="http://schemas.openxmlformats.org/officeDocument/2006/relationships/hyperlink" Target="https://calculatorhub.com/us/mortgage-rate-history/" TargetMode="External"/><Relationship Id="rId17" Type="http://schemas.openxmlformats.org/officeDocument/2006/relationships/hyperlink" Target="https://www.reuters.com/world/us/us-30-year-mortgage-rate-hits-highest-nearly-three-years-2026-10-07/" TargetMode="External"/><Relationship Id="rId18" Type="http://schemas.openxmlformats.org/officeDocument/2006/relationships/hyperlink" Target="https://www.nar.realtor/newsroom/nar-existing-home-sales-report-shows-2-0-decrease-in-august" TargetMode="External"/><Relationship Id="rId19" Type="http://schemas.openxmlformats.org/officeDocument/2006/relationships/hyperlink" Target="https://www.realtor.com/research/existing-home-sales-december-2025/" TargetMode="External"/><Relationship Id="rId20" Type="http://schemas.openxmlformats.org/officeDocument/2006/relationships/hyperlink" Target="https://www.nar.realtor/sites/default/files/documents/real-estate-and-economic-outlook-midyear-nar-forecast-summit-lawrence-yun-presentation-slides-07-22-2024.pdf" TargetMode="External"/><Relationship Id="rId21" Type="http://schemas.openxmlformats.org/officeDocument/2006/relationships/hyperlink" Target="https://www.fhfa.gov/blog/statistics/the-geography-of-the-lock-in-effect-which-msas-are-most-locked-in" TargetMode="External"/><Relationship Id="rId22" Type="http://schemas.openxmlformats.org/officeDocument/2006/relationships/hyperlink" Target="https://www.realtor.com/research/september-2026-data" TargetMode="External"/><Relationship Id="rId23" Type="http://schemas.openxmlformats.org/officeDocument/2006/relationships/hyperlink" Target="https://www.realtor.com/news/local/albuquerque-nm/real-estate-market-albuquerque-nm-september-2026/" TargetMode="External"/><Relationship Id="rId24" Type="http://schemas.openxmlformats.org/officeDocument/2006/relationships/hyperlink" Target="https://www.gaar.com/images/uploads/statistics/Full_Market_Report_2026_08.pdf" TargetMode="External"/><Relationship Id="rId25" Type="http://schemas.openxmlformats.org/officeDocument/2006/relationships/hyperlink" Target="https://www.freddiemac.com/research/insight/20221103-freddie-macs-newly-enhanced-mortgage-rate-surv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money costs more, homes move less</dc:title>
  <dc:subject>US, Southwest and Albuquerque mortgage rate and housing transaction analysis, 1999–2026</dc:subject>
  <dc:creator>Housing Market Research</dc:creator>
  <cp:keywords/>
  <dc:description>generated by python-docx</dc:description>
  <cp:lastModifiedBy/>
  <cp:revision>1</cp:revision>
  <dcterms:created xsi:type="dcterms:W3CDTF">2013-12-23T23:15:00Z</dcterms:created>
  <dcterms:modified xsi:type="dcterms:W3CDTF">2013-12-23T23:15:00Z</dcterms:modified>
  <cp:category/>
</cp:coreProperties>
</file>