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Bdr>
          <w:bottom w:val="single" w:sz="28" w:space="1" w:color="D71920"/>
        </w:pBdr>
      </w:pPr>
    </w:p>
    <w:p>
      <w:pPr>
        <w:pStyle w:val="Kicker"/>
        <w:spacing w:after="20"/>
      </w:pPr>
      <w:r>
        <w:t>GREATER ALBUQUERQUE FOURPLEX MARKET</w:t>
      </w:r>
    </w:p>
    <w:p>
      <w:pPr>
        <w:pStyle w:val="TitleX"/>
        <w:spacing w:after="20"/>
      </w:pPr>
      <w:r>
        <w:t>The adjustment is in time, not price</w:t>
      </w:r>
    </w:p>
    <w:p>
      <w:pPr>
        <w:pStyle w:val="Deck"/>
        <w:spacing w:after="100"/>
      </w:pPr>
      <w:r>
        <w:t>Weekly update through October 11, 2026. Inventory has begun to edge lower, but the more important change is a rapidly ageing pool of listings while headline asking prices remain stubbornly stable.</w:t>
      </w:r>
    </w:p>
    <w:p>
      <w:pPr>
        <w:pStyle w:val="SmallX"/>
        <w:spacing w:after="120"/>
      </w:pPr>
      <w:r>
        <w:t>SWMLS fourplex inventory snapshots: September 6, October 4 and October 11, 2026</w:t>
      </w:r>
    </w:p>
    <w:tbl>
      <w:tblPr>
        <w:tblW w:type="auto" w:w="0"/>
        <w:jc w:val="center"/>
        <w:tblLayout w:type="fixed"/>
        <w:tblLook w:firstColumn="1" w:firstRow="1" w:lastColumn="0" w:lastRow="0" w:noHBand="0" w:noVBand="1" w:val="04A0"/>
      </w:tblPr>
      <w:tblGrid>
        <w:gridCol w:w="3528"/>
        <w:gridCol w:w="3528"/>
        <w:gridCol w:w="3528"/>
      </w:tblGrid>
      <w:tr>
        <w:trPr>
          <w:cantSplit/>
        </w:trPr>
        <w:tc>
          <w:tcPr>
            <w:tcW w:type="dxa" w:w="3523"/>
            <w:shd w:fill="F4F4F4"/>
            <w:tcMar>
              <w:top w:w="90" w:type="dxa"/>
              <w:start w:w="100" w:type="dxa"/>
              <w:bottom w:w="90" w:type="dxa"/>
              <w:end w:w="100" w:type="dxa"/>
            </w:tcMar>
            <w:vAlign w:val="center"/>
          </w:tcPr>
          <w:p>
            <w:pPr>
              <w:spacing w:after="0"/>
              <w:jc w:val="center"/>
            </w:pPr>
            <w:r>
              <w:rPr>
                <w:rFonts w:ascii="Arial" w:hAnsi="Arial"/>
                <w:b/>
                <w:color w:val="222222"/>
                <w:sz w:val="32"/>
              </w:rPr>
              <w:t>38</w:t>
            </w:r>
          </w:p>
          <w:p>
            <w:pPr>
              <w:spacing w:after="0"/>
              <w:jc w:val="center"/>
            </w:pPr>
            <w:r>
              <w:rPr>
                <w:rFonts w:ascii="Arial" w:hAnsi="Arial"/>
                <w:b/>
                <w:color w:val="D71920"/>
                <w:sz w:val="14"/>
              </w:rPr>
              <w:t>ACTIVE LISTINGS</w:t>
            </w:r>
          </w:p>
          <w:p>
            <w:pPr>
              <w:spacing w:after="0"/>
              <w:jc w:val="center"/>
            </w:pPr>
            <w:r>
              <w:rPr>
                <w:rFonts w:ascii="Arial" w:hAnsi="Arial"/>
                <w:color w:val="666666"/>
                <w:sz w:val="14"/>
              </w:rPr>
              <w:t>down 5% in one week</w:t>
            </w:r>
          </w:p>
        </w:tc>
        <w:tc>
          <w:tcPr>
            <w:tcW w:type="dxa" w:w="3523"/>
            <w:shd w:fill="F4F4F4"/>
            <w:tcMar>
              <w:top w:w="90" w:type="dxa"/>
              <w:start w:w="100" w:type="dxa"/>
              <w:bottom w:w="90" w:type="dxa"/>
              <w:end w:w="100" w:type="dxa"/>
            </w:tcMar>
            <w:vAlign w:val="center"/>
          </w:tcPr>
          <w:p>
            <w:pPr>
              <w:spacing w:after="0"/>
              <w:jc w:val="center"/>
            </w:pPr>
            <w:r>
              <w:rPr>
                <w:rFonts w:ascii="Arial" w:hAnsi="Arial"/>
                <w:b/>
                <w:color w:val="222222"/>
                <w:sz w:val="32"/>
              </w:rPr>
              <w:t>83 days</w:t>
            </w:r>
          </w:p>
          <w:p>
            <w:pPr>
              <w:spacing w:after="0"/>
              <w:jc w:val="center"/>
            </w:pPr>
            <w:r>
              <w:rPr>
                <w:rFonts w:ascii="Arial" w:hAnsi="Arial"/>
                <w:b/>
                <w:color w:val="D71920"/>
                <w:sz w:val="14"/>
              </w:rPr>
              <w:t>AVERAGE DOM</w:t>
            </w:r>
          </w:p>
          <w:p>
            <w:pPr>
              <w:spacing w:after="0"/>
              <w:jc w:val="center"/>
            </w:pPr>
            <w:r>
              <w:rPr>
                <w:rFonts w:ascii="Arial" w:hAnsi="Arial"/>
                <w:color w:val="666666"/>
                <w:sz w:val="14"/>
              </w:rPr>
              <w:t>up 9 days in one week</w:t>
            </w:r>
          </w:p>
        </w:tc>
        <w:tc>
          <w:tcPr>
            <w:tcW w:type="dxa" w:w="3523"/>
            <w:shd w:fill="F4F4F4"/>
            <w:tcMar>
              <w:top w:w="90" w:type="dxa"/>
              <w:start w:w="100" w:type="dxa"/>
              <w:bottom w:w="90" w:type="dxa"/>
              <w:end w:w="100" w:type="dxa"/>
            </w:tcMar>
            <w:vAlign w:val="center"/>
          </w:tcPr>
          <w:p>
            <w:pPr>
              <w:spacing w:after="0"/>
              <w:jc w:val="center"/>
            </w:pPr>
            <w:r>
              <w:rPr>
                <w:rFonts w:ascii="Arial" w:hAnsi="Arial"/>
                <w:b/>
                <w:color w:val="222222"/>
                <w:sz w:val="32"/>
              </w:rPr>
              <w:t>$505,000</w:t>
            </w:r>
          </w:p>
          <w:p>
            <w:pPr>
              <w:spacing w:after="0"/>
              <w:jc w:val="center"/>
            </w:pPr>
            <w:r>
              <w:rPr>
                <w:rFonts w:ascii="Arial" w:hAnsi="Arial"/>
                <w:b/>
                <w:color w:val="D71920"/>
                <w:sz w:val="14"/>
              </w:rPr>
              <w:t>MEDIAN ASKING PRICE</w:t>
            </w:r>
          </w:p>
          <w:p>
            <w:pPr>
              <w:spacing w:after="0"/>
              <w:jc w:val="center"/>
            </w:pPr>
            <w:r>
              <w:rPr>
                <w:rFonts w:ascii="Arial" w:hAnsi="Arial"/>
                <w:color w:val="666666"/>
                <w:sz w:val="14"/>
              </w:rPr>
              <w:t>unchanged since September</w:t>
            </w:r>
          </w:p>
        </w:tc>
      </w:tr>
    </w:tbl>
    <w:p>
      <w:pPr>
        <w:pStyle w:val="H1X"/>
        <w:spacing w:before="160" w:after="60"/>
      </w:pPr>
      <w:r>
        <w:t>A market that is getting older</w:t>
      </w:r>
    </w:p>
    <w:p>
      <w:r>
        <w:t>The latest weekly snapshot strengthens the conclusion from the September-to-October comparison: the market is not repricing quickly, but it is taking longer to clear. On September 6 there were 40 available fourplexes, with an average asking price of $503,787 and average marketing time of 62 days. October 4 still showed 40 listings, but average DOM had risen to 74 days. By October 11 inventory had slipped to 38 while average DOM climbed again, to 83 days.</w:t>
      </w:r>
    </w:p>
    <w:p>
      <w:r>
        <w:t>The price measures barely moved. The median asking price has remained fixed at $505,000 across all three snapshots. Average asking price rose slightly in early October and then fell to $503,213 on October 11 - only $574 below the September level. Average price per square foot eased from $172.65 in September to $171.08, a decline of less than 1%. In other words, sellers have largely defended their asking prices even as time on market has deteriorated.</w:t>
      </w:r>
    </w:p>
    <w:p>
      <w:r>
        <w:t>The newest week is particularly telling. Two properties left the active/coming-soon inventory and no new listings replaced them. The properties no longer present were 12704 Dunes Road SE, previously offered at $500,000, and 1216 Coal Avenue SW, previously offered at $575,000. The CMA snapshots do not say whether these properties went under contract, were withdrawn, expired or otherwise changed status, so their disappearance should not be treated automatically as a sale.</w:t>
      </w:r>
    </w:p>
    <w:p>
      <w:pPr>
        <w:pStyle w:val="H2X"/>
        <w:spacing w:before="40" w:after="60"/>
      </w:pPr>
      <w:r>
        <w:t>Market dashboard</w:t>
      </w:r>
    </w:p>
    <w:tbl>
      <w:tblPr>
        <w:tblStyle w:val="TableGrid"/>
        <w:tblW w:type="auto" w:w="0"/>
        <w:jc w:val="center"/>
        <w:tblLayout w:type="fixed"/>
        <w:tblLook w:firstColumn="1" w:firstRow="1" w:lastColumn="0" w:lastRow="0" w:noHBand="0" w:noVBand="1" w:val="04A0"/>
      </w:tblPr>
      <w:tblGrid>
        <w:gridCol w:w="3240"/>
        <w:gridCol w:w="1656"/>
        <w:gridCol w:w="1656"/>
        <w:gridCol w:w="1656"/>
        <w:gridCol w:w="2880"/>
      </w:tblGrid>
      <w:tr>
        <w:trPr>
          <w:cantSplit/>
        </w:trPr>
        <w:tc>
          <w:tcPr>
            <w:tcW w:type="dxa" w:w="2114"/>
            <w:shd w:fill="D71920"/>
            <w:tcMar>
              <w:top w:w="60" w:type="dxa"/>
              <w:start w:w="70" w:type="dxa"/>
              <w:bottom w:w="60" w:type="dxa"/>
              <w:end w:w="70" w:type="dxa"/>
            </w:tcMar>
          </w:tcPr>
          <w:p>
            <w:pPr>
              <w:spacing w:after="0"/>
            </w:pPr>
            <w:r>
              <w:rPr>
                <w:rFonts w:ascii="Arial" w:hAnsi="Arial"/>
                <w:b/>
                <w:color w:val="FFFFFF"/>
                <w:sz w:val="14"/>
              </w:rPr>
              <w:t>Metric</w:t>
            </w:r>
          </w:p>
        </w:tc>
        <w:tc>
          <w:tcPr>
            <w:tcW w:type="dxa" w:w="2114"/>
            <w:shd w:fill="D71920"/>
            <w:tcMar>
              <w:top w:w="60" w:type="dxa"/>
              <w:start w:w="70" w:type="dxa"/>
              <w:bottom w:w="60" w:type="dxa"/>
              <w:end w:w="70" w:type="dxa"/>
            </w:tcMar>
          </w:tcPr>
          <w:p>
            <w:pPr>
              <w:spacing w:after="0"/>
            </w:pPr>
            <w:r>
              <w:rPr>
                <w:rFonts w:ascii="Arial" w:hAnsi="Arial"/>
                <w:b/>
                <w:color w:val="FFFFFF"/>
                <w:sz w:val="14"/>
              </w:rPr>
              <w:t>Sep. 6</w:t>
            </w:r>
          </w:p>
        </w:tc>
        <w:tc>
          <w:tcPr>
            <w:tcW w:type="dxa" w:w="2114"/>
            <w:shd w:fill="D71920"/>
            <w:tcMar>
              <w:top w:w="60" w:type="dxa"/>
              <w:start w:w="70" w:type="dxa"/>
              <w:bottom w:w="60" w:type="dxa"/>
              <w:end w:w="70" w:type="dxa"/>
            </w:tcMar>
          </w:tcPr>
          <w:p>
            <w:pPr>
              <w:spacing w:after="0"/>
            </w:pPr>
            <w:r>
              <w:rPr>
                <w:rFonts w:ascii="Arial" w:hAnsi="Arial"/>
                <w:b/>
                <w:color w:val="FFFFFF"/>
                <w:sz w:val="14"/>
              </w:rPr>
              <w:t>Oct. 4</w:t>
            </w:r>
          </w:p>
        </w:tc>
        <w:tc>
          <w:tcPr>
            <w:tcW w:type="dxa" w:w="2114"/>
            <w:shd w:fill="D71920"/>
            <w:tcMar>
              <w:top w:w="60" w:type="dxa"/>
              <w:start w:w="70" w:type="dxa"/>
              <w:bottom w:w="60" w:type="dxa"/>
              <w:end w:w="70" w:type="dxa"/>
            </w:tcMar>
          </w:tcPr>
          <w:p>
            <w:pPr>
              <w:spacing w:after="0"/>
            </w:pPr>
            <w:r>
              <w:rPr>
                <w:rFonts w:ascii="Arial" w:hAnsi="Arial"/>
                <w:b/>
                <w:color w:val="FFFFFF"/>
                <w:sz w:val="14"/>
              </w:rPr>
              <w:t>Oct. 11</w:t>
            </w:r>
          </w:p>
        </w:tc>
        <w:tc>
          <w:tcPr>
            <w:tcW w:type="dxa" w:w="2114"/>
            <w:shd w:fill="D71920"/>
            <w:tcMar>
              <w:top w:w="60" w:type="dxa"/>
              <w:start w:w="70" w:type="dxa"/>
              <w:bottom w:w="60" w:type="dxa"/>
              <w:end w:w="70" w:type="dxa"/>
            </w:tcMar>
          </w:tcPr>
          <w:p>
            <w:pPr>
              <w:spacing w:after="0"/>
            </w:pPr>
            <w:r>
              <w:rPr>
                <w:rFonts w:ascii="Arial" w:hAnsi="Arial"/>
                <w:b/>
                <w:color w:val="FFFFFF"/>
                <w:sz w:val="14"/>
              </w:rPr>
              <w:t>Latest weekly move</w:t>
            </w:r>
          </w:p>
        </w:tc>
      </w:tr>
      <w:tr>
        <w:trPr>
          <w:cantSplit/>
        </w:trPr>
        <w:tc>
          <w:tcPr>
            <w:tcW w:type="dxa" w:w="3240"/>
            <w:tcMar>
              <w:top w:w="50" w:type="dxa"/>
              <w:start w:w="70" w:type="dxa"/>
              <w:bottom w:w="50" w:type="dxa"/>
              <w:end w:w="70" w:type="dxa"/>
            </w:tcMar>
          </w:tcPr>
          <w:p>
            <w:pPr>
              <w:spacing w:after="0"/>
            </w:pPr>
            <w:r>
              <w:rPr>
                <w:rFonts w:ascii="Arial" w:hAnsi="Arial"/>
                <w:b/>
                <w:sz w:val="14"/>
              </w:rPr>
              <w:t>Active / coming soon</w:t>
            </w:r>
          </w:p>
        </w:tc>
        <w:tc>
          <w:tcPr>
            <w:tcW w:type="dxa" w:w="1656"/>
            <w:tcMar>
              <w:top w:w="50" w:type="dxa"/>
              <w:start w:w="70" w:type="dxa"/>
              <w:bottom w:w="50" w:type="dxa"/>
              <w:end w:w="70" w:type="dxa"/>
            </w:tcMar>
          </w:tcPr>
          <w:p>
            <w:pPr>
              <w:spacing w:after="0"/>
            </w:pPr>
            <w:r>
              <w:rPr>
                <w:rFonts w:ascii="Arial" w:hAnsi="Arial"/>
                <w:b w:val="0"/>
                <w:sz w:val="14"/>
              </w:rPr>
              <w:t>40</w:t>
            </w:r>
          </w:p>
        </w:tc>
        <w:tc>
          <w:tcPr>
            <w:tcW w:type="dxa" w:w="1656"/>
            <w:tcMar>
              <w:top w:w="50" w:type="dxa"/>
              <w:start w:w="70" w:type="dxa"/>
              <w:bottom w:w="50" w:type="dxa"/>
              <w:end w:w="70" w:type="dxa"/>
            </w:tcMar>
          </w:tcPr>
          <w:p>
            <w:pPr>
              <w:spacing w:after="0"/>
            </w:pPr>
            <w:r>
              <w:rPr>
                <w:rFonts w:ascii="Arial" w:hAnsi="Arial"/>
                <w:b w:val="0"/>
                <w:sz w:val="14"/>
              </w:rPr>
              <w:t>40</w:t>
            </w:r>
          </w:p>
        </w:tc>
        <w:tc>
          <w:tcPr>
            <w:tcW w:type="dxa" w:w="1656"/>
            <w:tcMar>
              <w:top w:w="50" w:type="dxa"/>
              <w:start w:w="70" w:type="dxa"/>
              <w:bottom w:w="50" w:type="dxa"/>
              <w:end w:w="70" w:type="dxa"/>
            </w:tcMar>
          </w:tcPr>
          <w:p>
            <w:pPr>
              <w:spacing w:after="0"/>
            </w:pPr>
            <w:r>
              <w:rPr>
                <w:rFonts w:ascii="Arial" w:hAnsi="Arial"/>
                <w:b w:val="0"/>
                <w:sz w:val="14"/>
              </w:rPr>
              <w:t>38</w:t>
            </w:r>
          </w:p>
        </w:tc>
        <w:tc>
          <w:tcPr>
            <w:tcW w:type="dxa" w:w="2880"/>
            <w:tcMar>
              <w:top w:w="50" w:type="dxa"/>
              <w:start w:w="70" w:type="dxa"/>
              <w:bottom w:w="50" w:type="dxa"/>
              <w:end w:w="70" w:type="dxa"/>
            </w:tcMar>
          </w:tcPr>
          <w:p>
            <w:pPr>
              <w:spacing w:after="0"/>
            </w:pPr>
            <w:r>
              <w:rPr>
                <w:rFonts w:ascii="Arial" w:hAnsi="Arial"/>
                <w:b/>
                <w:sz w:val="14"/>
              </w:rPr>
              <w:t>-2  (-5.0%)</w:t>
            </w:r>
          </w:p>
        </w:tc>
      </w:tr>
      <w:tr>
        <w:trPr>
          <w:cantSplit/>
        </w:trPr>
        <w:tc>
          <w:tcPr>
            <w:tcW w:type="dxa" w:w="3240"/>
            <w:tcMar>
              <w:top w:w="50" w:type="dxa"/>
              <w:start w:w="70" w:type="dxa"/>
              <w:bottom w:w="50" w:type="dxa"/>
              <w:end w:w="70" w:type="dxa"/>
            </w:tcMar>
            <w:shd w:fill="F7F7F7"/>
          </w:tcPr>
          <w:p>
            <w:pPr>
              <w:spacing w:after="0"/>
            </w:pPr>
            <w:r>
              <w:rPr>
                <w:rFonts w:ascii="Arial" w:hAnsi="Arial"/>
                <w:b/>
                <w:sz w:val="14"/>
              </w:rPr>
              <w:t>Average list price</w:t>
            </w:r>
          </w:p>
        </w:tc>
        <w:tc>
          <w:tcPr>
            <w:tcW w:type="dxa" w:w="1656"/>
            <w:tcMar>
              <w:top w:w="50" w:type="dxa"/>
              <w:start w:w="70" w:type="dxa"/>
              <w:bottom w:w="50" w:type="dxa"/>
              <w:end w:w="70" w:type="dxa"/>
            </w:tcMar>
            <w:shd w:fill="F7F7F7"/>
          </w:tcPr>
          <w:p>
            <w:pPr>
              <w:spacing w:after="0"/>
            </w:pPr>
            <w:r>
              <w:rPr>
                <w:rFonts w:ascii="Arial" w:hAnsi="Arial"/>
                <w:b w:val="0"/>
                <w:sz w:val="14"/>
              </w:rPr>
              <w:t>$503,787</w:t>
            </w:r>
          </w:p>
        </w:tc>
        <w:tc>
          <w:tcPr>
            <w:tcW w:type="dxa" w:w="1656"/>
            <w:tcMar>
              <w:top w:w="50" w:type="dxa"/>
              <w:start w:w="70" w:type="dxa"/>
              <w:bottom w:w="50" w:type="dxa"/>
              <w:end w:w="70" w:type="dxa"/>
            </w:tcMar>
            <w:shd w:fill="F7F7F7"/>
          </w:tcPr>
          <w:p>
            <w:pPr>
              <w:spacing w:after="0"/>
            </w:pPr>
            <w:r>
              <w:rPr>
                <w:rFonts w:ascii="Arial" w:hAnsi="Arial"/>
                <w:b w:val="0"/>
                <w:sz w:val="14"/>
              </w:rPr>
              <w:t>$505,052</w:t>
            </w:r>
          </w:p>
        </w:tc>
        <w:tc>
          <w:tcPr>
            <w:tcW w:type="dxa" w:w="1656"/>
            <w:tcMar>
              <w:top w:w="50" w:type="dxa"/>
              <w:start w:w="70" w:type="dxa"/>
              <w:bottom w:w="50" w:type="dxa"/>
              <w:end w:w="70" w:type="dxa"/>
            </w:tcMar>
            <w:shd w:fill="F7F7F7"/>
          </w:tcPr>
          <w:p>
            <w:pPr>
              <w:spacing w:after="0"/>
            </w:pPr>
            <w:r>
              <w:rPr>
                <w:rFonts w:ascii="Arial" w:hAnsi="Arial"/>
                <w:b w:val="0"/>
                <w:sz w:val="14"/>
              </w:rPr>
              <w:t>$503,213</w:t>
            </w:r>
          </w:p>
        </w:tc>
        <w:tc>
          <w:tcPr>
            <w:tcW w:type="dxa" w:w="2880"/>
            <w:tcMar>
              <w:top w:w="50" w:type="dxa"/>
              <w:start w:w="70" w:type="dxa"/>
              <w:bottom w:w="50" w:type="dxa"/>
              <w:end w:w="70" w:type="dxa"/>
            </w:tcMar>
            <w:shd w:fill="F7F7F7"/>
          </w:tcPr>
          <w:p>
            <w:pPr>
              <w:spacing w:after="0"/>
            </w:pPr>
            <w:r>
              <w:rPr>
                <w:rFonts w:ascii="Arial" w:hAnsi="Arial"/>
                <w:b/>
                <w:sz w:val="14"/>
              </w:rPr>
              <w:t>-$1,839  (-0.4%)</w:t>
            </w:r>
          </w:p>
        </w:tc>
      </w:tr>
      <w:tr>
        <w:trPr>
          <w:cantSplit/>
        </w:trPr>
        <w:tc>
          <w:tcPr>
            <w:tcW w:type="dxa" w:w="3240"/>
            <w:tcMar>
              <w:top w:w="50" w:type="dxa"/>
              <w:start w:w="70" w:type="dxa"/>
              <w:bottom w:w="50" w:type="dxa"/>
              <w:end w:w="70" w:type="dxa"/>
            </w:tcMar>
          </w:tcPr>
          <w:p>
            <w:pPr>
              <w:spacing w:after="0"/>
            </w:pPr>
            <w:r>
              <w:rPr>
                <w:rFonts w:ascii="Arial" w:hAnsi="Arial"/>
                <w:b/>
                <w:sz w:val="14"/>
              </w:rPr>
              <w:t>Median list price</w:t>
            </w:r>
          </w:p>
        </w:tc>
        <w:tc>
          <w:tcPr>
            <w:tcW w:type="dxa" w:w="1656"/>
            <w:tcMar>
              <w:top w:w="50" w:type="dxa"/>
              <w:start w:w="70" w:type="dxa"/>
              <w:bottom w:w="50" w:type="dxa"/>
              <w:end w:w="70" w:type="dxa"/>
            </w:tcMar>
          </w:tcPr>
          <w:p>
            <w:pPr>
              <w:spacing w:after="0"/>
            </w:pPr>
            <w:r>
              <w:rPr>
                <w:rFonts w:ascii="Arial" w:hAnsi="Arial"/>
                <w:b w:val="0"/>
                <w:sz w:val="14"/>
              </w:rPr>
              <w:t>$505,000</w:t>
            </w:r>
          </w:p>
        </w:tc>
        <w:tc>
          <w:tcPr>
            <w:tcW w:type="dxa" w:w="1656"/>
            <w:tcMar>
              <w:top w:w="50" w:type="dxa"/>
              <w:start w:w="70" w:type="dxa"/>
              <w:bottom w:w="50" w:type="dxa"/>
              <w:end w:w="70" w:type="dxa"/>
            </w:tcMar>
          </w:tcPr>
          <w:p>
            <w:pPr>
              <w:spacing w:after="0"/>
            </w:pPr>
            <w:r>
              <w:rPr>
                <w:rFonts w:ascii="Arial" w:hAnsi="Arial"/>
                <w:b w:val="0"/>
                <w:sz w:val="14"/>
              </w:rPr>
              <w:t>$505,000</w:t>
            </w:r>
          </w:p>
        </w:tc>
        <w:tc>
          <w:tcPr>
            <w:tcW w:type="dxa" w:w="1656"/>
            <w:tcMar>
              <w:top w:w="50" w:type="dxa"/>
              <w:start w:w="70" w:type="dxa"/>
              <w:bottom w:w="50" w:type="dxa"/>
              <w:end w:w="70" w:type="dxa"/>
            </w:tcMar>
          </w:tcPr>
          <w:p>
            <w:pPr>
              <w:spacing w:after="0"/>
            </w:pPr>
            <w:r>
              <w:rPr>
                <w:rFonts w:ascii="Arial" w:hAnsi="Arial"/>
                <w:b w:val="0"/>
                <w:sz w:val="14"/>
              </w:rPr>
              <w:t>$505,000</w:t>
            </w:r>
          </w:p>
        </w:tc>
        <w:tc>
          <w:tcPr>
            <w:tcW w:type="dxa" w:w="2880"/>
            <w:tcMar>
              <w:top w:w="50" w:type="dxa"/>
              <w:start w:w="70" w:type="dxa"/>
              <w:bottom w:w="50" w:type="dxa"/>
              <w:end w:w="70" w:type="dxa"/>
            </w:tcMar>
          </w:tcPr>
          <w:p>
            <w:pPr>
              <w:spacing w:after="0"/>
            </w:pPr>
            <w:r>
              <w:rPr>
                <w:rFonts w:ascii="Arial" w:hAnsi="Arial"/>
                <w:b w:val="0"/>
                <w:sz w:val="14"/>
              </w:rPr>
              <w:t>No change</w:t>
            </w:r>
          </w:p>
        </w:tc>
      </w:tr>
      <w:tr>
        <w:trPr>
          <w:cantSplit/>
        </w:trPr>
        <w:tc>
          <w:tcPr>
            <w:tcW w:type="dxa" w:w="3240"/>
            <w:tcMar>
              <w:top w:w="50" w:type="dxa"/>
              <w:start w:w="70" w:type="dxa"/>
              <w:bottom w:w="50" w:type="dxa"/>
              <w:end w:w="70" w:type="dxa"/>
            </w:tcMar>
            <w:shd w:fill="F7F7F7"/>
          </w:tcPr>
          <w:p>
            <w:pPr>
              <w:spacing w:after="0"/>
            </w:pPr>
            <w:r>
              <w:rPr>
                <w:rFonts w:ascii="Arial" w:hAnsi="Arial"/>
                <w:b/>
                <w:sz w:val="14"/>
              </w:rPr>
              <w:t>Average $ / sq.ft.</w:t>
            </w:r>
          </w:p>
        </w:tc>
        <w:tc>
          <w:tcPr>
            <w:tcW w:type="dxa" w:w="1656"/>
            <w:tcMar>
              <w:top w:w="50" w:type="dxa"/>
              <w:start w:w="70" w:type="dxa"/>
              <w:bottom w:w="50" w:type="dxa"/>
              <w:end w:w="70" w:type="dxa"/>
            </w:tcMar>
            <w:shd w:fill="F7F7F7"/>
          </w:tcPr>
          <w:p>
            <w:pPr>
              <w:spacing w:after="0"/>
            </w:pPr>
            <w:r>
              <w:rPr>
                <w:rFonts w:ascii="Arial" w:hAnsi="Arial"/>
                <w:b w:val="0"/>
                <w:sz w:val="14"/>
              </w:rPr>
              <w:t>$172.65</w:t>
            </w:r>
          </w:p>
        </w:tc>
        <w:tc>
          <w:tcPr>
            <w:tcW w:type="dxa" w:w="1656"/>
            <w:tcMar>
              <w:top w:w="50" w:type="dxa"/>
              <w:start w:w="70" w:type="dxa"/>
              <w:bottom w:w="50" w:type="dxa"/>
              <w:end w:w="70" w:type="dxa"/>
            </w:tcMar>
            <w:shd w:fill="F7F7F7"/>
          </w:tcPr>
          <w:p>
            <w:pPr>
              <w:spacing w:after="0"/>
            </w:pPr>
            <w:r>
              <w:rPr>
                <w:rFonts w:ascii="Arial" w:hAnsi="Arial"/>
                <w:b w:val="0"/>
                <w:sz w:val="14"/>
              </w:rPr>
              <w:t>$171.38</w:t>
            </w:r>
          </w:p>
        </w:tc>
        <w:tc>
          <w:tcPr>
            <w:tcW w:type="dxa" w:w="1656"/>
            <w:tcMar>
              <w:top w:w="50" w:type="dxa"/>
              <w:start w:w="70" w:type="dxa"/>
              <w:bottom w:w="50" w:type="dxa"/>
              <w:end w:w="70" w:type="dxa"/>
            </w:tcMar>
            <w:shd w:fill="F7F7F7"/>
          </w:tcPr>
          <w:p>
            <w:pPr>
              <w:spacing w:after="0"/>
            </w:pPr>
            <w:r>
              <w:rPr>
                <w:rFonts w:ascii="Arial" w:hAnsi="Arial"/>
                <w:b w:val="0"/>
                <w:sz w:val="14"/>
              </w:rPr>
              <w:t>$171.08</w:t>
            </w:r>
          </w:p>
        </w:tc>
        <w:tc>
          <w:tcPr>
            <w:tcW w:type="dxa" w:w="2880"/>
            <w:tcMar>
              <w:top w:w="50" w:type="dxa"/>
              <w:start w:w="70" w:type="dxa"/>
              <w:bottom w:w="50" w:type="dxa"/>
              <w:end w:w="70" w:type="dxa"/>
            </w:tcMar>
            <w:shd w:fill="F7F7F7"/>
          </w:tcPr>
          <w:p>
            <w:pPr>
              <w:spacing w:after="0"/>
            </w:pPr>
            <w:r>
              <w:rPr>
                <w:rFonts w:ascii="Arial" w:hAnsi="Arial"/>
                <w:b/>
                <w:sz w:val="14"/>
              </w:rPr>
              <w:t>-$0.30  (-0.2%)</w:t>
            </w:r>
          </w:p>
        </w:tc>
      </w:tr>
      <w:tr>
        <w:trPr>
          <w:cantSplit/>
        </w:trPr>
        <w:tc>
          <w:tcPr>
            <w:tcW w:type="dxa" w:w="3240"/>
            <w:tcMar>
              <w:top w:w="50" w:type="dxa"/>
              <w:start w:w="70" w:type="dxa"/>
              <w:bottom w:w="50" w:type="dxa"/>
              <w:end w:w="70" w:type="dxa"/>
            </w:tcMar>
          </w:tcPr>
          <w:p>
            <w:pPr>
              <w:spacing w:after="0"/>
            </w:pPr>
            <w:r>
              <w:rPr>
                <w:rFonts w:ascii="Arial" w:hAnsi="Arial"/>
                <w:b/>
                <w:sz w:val="14"/>
              </w:rPr>
              <w:t>Average DOM</w:t>
            </w:r>
          </w:p>
        </w:tc>
        <w:tc>
          <w:tcPr>
            <w:tcW w:type="dxa" w:w="1656"/>
            <w:tcMar>
              <w:top w:w="50" w:type="dxa"/>
              <w:start w:w="70" w:type="dxa"/>
              <w:bottom w:w="50" w:type="dxa"/>
              <w:end w:w="70" w:type="dxa"/>
            </w:tcMar>
          </w:tcPr>
          <w:p>
            <w:pPr>
              <w:spacing w:after="0"/>
            </w:pPr>
            <w:r>
              <w:rPr>
                <w:rFonts w:ascii="Arial" w:hAnsi="Arial"/>
                <w:b w:val="0"/>
                <w:sz w:val="14"/>
              </w:rPr>
              <w:t>62</w:t>
            </w:r>
          </w:p>
        </w:tc>
        <w:tc>
          <w:tcPr>
            <w:tcW w:type="dxa" w:w="1656"/>
            <w:tcMar>
              <w:top w:w="50" w:type="dxa"/>
              <w:start w:w="70" w:type="dxa"/>
              <w:bottom w:w="50" w:type="dxa"/>
              <w:end w:w="70" w:type="dxa"/>
            </w:tcMar>
          </w:tcPr>
          <w:p>
            <w:pPr>
              <w:spacing w:after="0"/>
            </w:pPr>
            <w:r>
              <w:rPr>
                <w:rFonts w:ascii="Arial" w:hAnsi="Arial"/>
                <w:b w:val="0"/>
                <w:sz w:val="14"/>
              </w:rPr>
              <w:t>74</w:t>
            </w:r>
          </w:p>
        </w:tc>
        <w:tc>
          <w:tcPr>
            <w:tcW w:type="dxa" w:w="1656"/>
            <w:tcMar>
              <w:top w:w="50" w:type="dxa"/>
              <w:start w:w="70" w:type="dxa"/>
              <w:bottom w:w="50" w:type="dxa"/>
              <w:end w:w="70" w:type="dxa"/>
            </w:tcMar>
          </w:tcPr>
          <w:p>
            <w:pPr>
              <w:spacing w:after="0"/>
            </w:pPr>
            <w:r>
              <w:rPr>
                <w:rFonts w:ascii="Arial" w:hAnsi="Arial"/>
                <w:b w:val="0"/>
                <w:sz w:val="14"/>
              </w:rPr>
              <w:t>83</w:t>
            </w:r>
          </w:p>
        </w:tc>
        <w:tc>
          <w:tcPr>
            <w:tcW w:type="dxa" w:w="2880"/>
            <w:tcMar>
              <w:top w:w="50" w:type="dxa"/>
              <w:start w:w="70" w:type="dxa"/>
              <w:bottom w:w="50" w:type="dxa"/>
              <w:end w:w="70" w:type="dxa"/>
            </w:tcMar>
          </w:tcPr>
          <w:p>
            <w:pPr>
              <w:spacing w:after="0"/>
            </w:pPr>
            <w:r>
              <w:rPr>
                <w:rFonts w:ascii="Arial" w:hAnsi="Arial"/>
                <w:b/>
                <w:sz w:val="14"/>
              </w:rPr>
              <w:t>+9 days  (+12.2%)</w:t>
            </w:r>
          </w:p>
        </w:tc>
      </w:tr>
      <w:tr>
        <w:trPr>
          <w:cantSplit/>
        </w:trPr>
        <w:tc>
          <w:tcPr>
            <w:tcW w:type="dxa" w:w="3240"/>
            <w:tcMar>
              <w:top w:w="50" w:type="dxa"/>
              <w:start w:w="70" w:type="dxa"/>
              <w:bottom w:w="50" w:type="dxa"/>
              <w:end w:w="70" w:type="dxa"/>
            </w:tcMar>
            <w:shd w:fill="F7F7F7"/>
          </w:tcPr>
          <w:p>
            <w:pPr>
              <w:spacing w:after="0"/>
            </w:pPr>
            <w:r>
              <w:rPr>
                <w:rFonts w:ascii="Arial" w:hAnsi="Arial"/>
                <w:b/>
                <w:sz w:val="14"/>
              </w:rPr>
              <w:t>Average CDOM</w:t>
            </w:r>
          </w:p>
        </w:tc>
        <w:tc>
          <w:tcPr>
            <w:tcW w:type="dxa" w:w="1656"/>
            <w:tcMar>
              <w:top w:w="50" w:type="dxa"/>
              <w:start w:w="70" w:type="dxa"/>
              <w:bottom w:w="50" w:type="dxa"/>
              <w:end w:w="70" w:type="dxa"/>
            </w:tcMar>
            <w:shd w:fill="F7F7F7"/>
          </w:tcPr>
          <w:p>
            <w:pPr>
              <w:spacing w:after="0"/>
            </w:pPr>
            <w:r>
              <w:rPr>
                <w:rFonts w:ascii="Arial" w:hAnsi="Arial"/>
                <w:b w:val="0"/>
                <w:sz w:val="14"/>
              </w:rPr>
              <w:t>69</w:t>
            </w:r>
          </w:p>
        </w:tc>
        <w:tc>
          <w:tcPr>
            <w:tcW w:type="dxa" w:w="1656"/>
            <w:tcMar>
              <w:top w:w="50" w:type="dxa"/>
              <w:start w:w="70" w:type="dxa"/>
              <w:bottom w:w="50" w:type="dxa"/>
              <w:end w:w="70" w:type="dxa"/>
            </w:tcMar>
            <w:shd w:fill="F7F7F7"/>
          </w:tcPr>
          <w:p>
            <w:pPr>
              <w:spacing w:after="0"/>
            </w:pPr>
            <w:r>
              <w:rPr>
                <w:rFonts w:ascii="Arial" w:hAnsi="Arial"/>
                <w:b w:val="0"/>
                <w:sz w:val="14"/>
              </w:rPr>
              <w:t>80</w:t>
            </w:r>
          </w:p>
        </w:tc>
        <w:tc>
          <w:tcPr>
            <w:tcW w:type="dxa" w:w="1656"/>
            <w:tcMar>
              <w:top w:w="50" w:type="dxa"/>
              <w:start w:w="70" w:type="dxa"/>
              <w:bottom w:w="50" w:type="dxa"/>
              <w:end w:w="70" w:type="dxa"/>
            </w:tcMar>
            <w:shd w:fill="F7F7F7"/>
          </w:tcPr>
          <w:p>
            <w:pPr>
              <w:spacing w:after="0"/>
            </w:pPr>
            <w:r>
              <w:rPr>
                <w:rFonts w:ascii="Arial" w:hAnsi="Arial"/>
                <w:b w:val="0"/>
                <w:sz w:val="14"/>
              </w:rPr>
              <w:t>89</w:t>
            </w:r>
          </w:p>
        </w:tc>
        <w:tc>
          <w:tcPr>
            <w:tcW w:type="dxa" w:w="2880"/>
            <w:tcMar>
              <w:top w:w="50" w:type="dxa"/>
              <w:start w:w="70" w:type="dxa"/>
              <w:bottom w:w="50" w:type="dxa"/>
              <w:end w:w="70" w:type="dxa"/>
            </w:tcMar>
            <w:shd w:fill="F7F7F7"/>
          </w:tcPr>
          <w:p>
            <w:pPr>
              <w:spacing w:after="0"/>
            </w:pPr>
            <w:r>
              <w:rPr>
                <w:rFonts w:ascii="Arial" w:hAnsi="Arial"/>
                <w:b/>
                <w:sz w:val="14"/>
              </w:rPr>
              <w:t>+9 days  (+11.3%)</w:t>
            </w:r>
          </w:p>
        </w:tc>
      </w:tr>
    </w:tbl>
    <w:p>
      <w:r>
        <w:br w:type="page"/>
      </w:r>
    </w:p>
    <w:p>
      <w:pPr>
        <w:pStyle w:val="Kicker"/>
        <w:spacing w:after="20"/>
      </w:pPr>
      <w:r>
        <w:t>WEEKLY TREND NOTE</w:t>
      </w:r>
    </w:p>
    <w:p>
      <w:pPr>
        <w:pStyle w:val="H1X"/>
        <w:spacing w:after="80"/>
      </w:pPr>
      <w:r>
        <w:t>Fewer fresh listings, more stale ones</w:t>
      </w:r>
    </w:p>
    <w:p>
      <w:r>
        <w:t>The age distribution makes the slowdown more visible than the price statistics do. Listings with 30 days or less of market exposure fell from 16 in early September to nine on October 4 and just three on October 11. At the same time, 12 of the 38 current listings have now been marketed for more than 90 days, and ten have exceeded 120 days. The market is therefore becoming increasingly dominated by seasoned inventory rather than newly introduced product.</w:t>
      </w:r>
    </w:p>
    <w:tbl>
      <w:tblPr>
        <w:tblStyle w:val="TableGrid"/>
        <w:tblW w:type="auto" w:w="0"/>
        <w:jc w:val="center"/>
        <w:tblLayout w:type="fixed"/>
        <w:tblLook w:firstColumn="1" w:firstRow="1" w:lastColumn="0" w:lastRow="0" w:noHBand="0" w:noVBand="1" w:val="04A0"/>
      </w:tblPr>
      <w:tblGrid>
        <w:gridCol w:w="2232"/>
        <w:gridCol w:w="1224"/>
        <w:gridCol w:w="1224"/>
        <w:gridCol w:w="1224"/>
        <w:gridCol w:w="5112"/>
      </w:tblGrid>
      <w:tr>
        <w:trPr>
          <w:cantSplit/>
        </w:trPr>
        <w:tc>
          <w:tcPr>
            <w:tcW w:type="dxa" w:w="2114"/>
            <w:shd w:fill="222222"/>
            <w:tcMar>
              <w:top w:w="60" w:type="dxa"/>
              <w:start w:w="70" w:type="dxa"/>
              <w:bottom w:w="60" w:type="dxa"/>
              <w:end w:w="70" w:type="dxa"/>
            </w:tcMar>
          </w:tcPr>
          <w:p>
            <w:pPr>
              <w:spacing w:after="0"/>
            </w:pPr>
            <w:r>
              <w:rPr>
                <w:rFonts w:ascii="Arial" w:hAnsi="Arial"/>
                <w:b/>
                <w:color w:val="FFFFFF"/>
                <w:sz w:val="14"/>
              </w:rPr>
              <w:t>Listing age</w:t>
            </w:r>
          </w:p>
        </w:tc>
        <w:tc>
          <w:tcPr>
            <w:tcW w:type="dxa" w:w="2114"/>
            <w:shd w:fill="222222"/>
            <w:tcMar>
              <w:top w:w="60" w:type="dxa"/>
              <w:start w:w="70" w:type="dxa"/>
              <w:bottom w:w="60" w:type="dxa"/>
              <w:end w:w="70" w:type="dxa"/>
            </w:tcMar>
          </w:tcPr>
          <w:p>
            <w:pPr>
              <w:spacing w:after="0"/>
            </w:pPr>
            <w:r>
              <w:rPr>
                <w:rFonts w:ascii="Arial" w:hAnsi="Arial"/>
                <w:b/>
                <w:color w:val="FFFFFF"/>
                <w:sz w:val="14"/>
              </w:rPr>
              <w:t>Sep. 6</w:t>
            </w:r>
          </w:p>
        </w:tc>
        <w:tc>
          <w:tcPr>
            <w:tcW w:type="dxa" w:w="2114"/>
            <w:shd w:fill="222222"/>
            <w:tcMar>
              <w:top w:w="60" w:type="dxa"/>
              <w:start w:w="70" w:type="dxa"/>
              <w:bottom w:w="60" w:type="dxa"/>
              <w:end w:w="70" w:type="dxa"/>
            </w:tcMar>
          </w:tcPr>
          <w:p>
            <w:pPr>
              <w:spacing w:after="0"/>
            </w:pPr>
            <w:r>
              <w:rPr>
                <w:rFonts w:ascii="Arial" w:hAnsi="Arial"/>
                <w:b/>
                <w:color w:val="FFFFFF"/>
                <w:sz w:val="14"/>
              </w:rPr>
              <w:t>Oct. 4</w:t>
            </w:r>
          </w:p>
        </w:tc>
        <w:tc>
          <w:tcPr>
            <w:tcW w:type="dxa" w:w="2114"/>
            <w:shd w:fill="222222"/>
            <w:tcMar>
              <w:top w:w="60" w:type="dxa"/>
              <w:start w:w="70" w:type="dxa"/>
              <w:bottom w:w="60" w:type="dxa"/>
              <w:end w:w="70" w:type="dxa"/>
            </w:tcMar>
          </w:tcPr>
          <w:p>
            <w:pPr>
              <w:spacing w:after="0"/>
            </w:pPr>
            <w:r>
              <w:rPr>
                <w:rFonts w:ascii="Arial" w:hAnsi="Arial"/>
                <w:b/>
                <w:color w:val="FFFFFF"/>
                <w:sz w:val="14"/>
              </w:rPr>
              <w:t>Oct. 11</w:t>
            </w:r>
          </w:p>
        </w:tc>
        <w:tc>
          <w:tcPr>
            <w:tcW w:type="dxa" w:w="2114"/>
            <w:shd w:fill="222222"/>
            <w:tcMar>
              <w:top w:w="60" w:type="dxa"/>
              <w:start w:w="70" w:type="dxa"/>
              <w:bottom w:w="60" w:type="dxa"/>
              <w:end w:w="70" w:type="dxa"/>
            </w:tcMar>
          </w:tcPr>
          <w:p>
            <w:pPr>
              <w:spacing w:after="0"/>
            </w:pPr>
            <w:r>
              <w:rPr>
                <w:rFonts w:ascii="Arial" w:hAnsi="Arial"/>
                <w:b/>
                <w:color w:val="FFFFFF"/>
                <w:sz w:val="14"/>
              </w:rPr>
              <w:t>Interpretation</w:t>
            </w:r>
          </w:p>
        </w:tc>
      </w:tr>
      <w:tr>
        <w:trPr>
          <w:cantSplit/>
        </w:trPr>
        <w:tc>
          <w:tcPr>
            <w:tcW w:type="dxa" w:w="2232"/>
            <w:tcMar>
              <w:top w:w="50" w:type="dxa"/>
              <w:start w:w="70" w:type="dxa"/>
              <w:bottom w:w="50" w:type="dxa"/>
              <w:end w:w="70" w:type="dxa"/>
            </w:tcMar>
            <w:shd w:fill="F7F7F7"/>
          </w:tcPr>
          <w:p>
            <w:pPr>
              <w:spacing w:after="0"/>
            </w:pPr>
            <w:r>
              <w:rPr>
                <w:rFonts w:ascii="Arial" w:hAnsi="Arial"/>
                <w:b/>
                <w:sz w:val="14"/>
              </w:rPr>
              <w:t>30 days or less</w:t>
            </w:r>
          </w:p>
        </w:tc>
        <w:tc>
          <w:tcPr>
            <w:tcW w:type="dxa" w:w="1224"/>
            <w:tcMar>
              <w:top w:w="50" w:type="dxa"/>
              <w:start w:w="70" w:type="dxa"/>
              <w:bottom w:w="50" w:type="dxa"/>
              <w:end w:w="70" w:type="dxa"/>
            </w:tcMar>
            <w:shd w:fill="F7F7F7"/>
          </w:tcPr>
          <w:p>
            <w:pPr>
              <w:spacing w:after="0"/>
            </w:pPr>
            <w:r>
              <w:rPr>
                <w:rFonts w:ascii="Arial" w:hAnsi="Arial"/>
                <w:b w:val="0"/>
                <w:sz w:val="14"/>
              </w:rPr>
              <w:t>16</w:t>
            </w:r>
          </w:p>
        </w:tc>
        <w:tc>
          <w:tcPr>
            <w:tcW w:type="dxa" w:w="1224"/>
            <w:tcMar>
              <w:top w:w="50" w:type="dxa"/>
              <w:start w:w="70" w:type="dxa"/>
              <w:bottom w:w="50" w:type="dxa"/>
              <w:end w:w="70" w:type="dxa"/>
            </w:tcMar>
            <w:shd w:fill="F7F7F7"/>
          </w:tcPr>
          <w:p>
            <w:pPr>
              <w:spacing w:after="0"/>
            </w:pPr>
            <w:r>
              <w:rPr>
                <w:rFonts w:ascii="Arial" w:hAnsi="Arial"/>
                <w:b w:val="0"/>
                <w:sz w:val="14"/>
              </w:rPr>
              <w:t>9</w:t>
            </w:r>
          </w:p>
        </w:tc>
        <w:tc>
          <w:tcPr>
            <w:tcW w:type="dxa" w:w="1224"/>
            <w:tcMar>
              <w:top w:w="50" w:type="dxa"/>
              <w:start w:w="70" w:type="dxa"/>
              <w:bottom w:w="50" w:type="dxa"/>
              <w:end w:w="70" w:type="dxa"/>
            </w:tcMar>
            <w:shd w:fill="F7F7F7"/>
          </w:tcPr>
          <w:p>
            <w:pPr>
              <w:spacing w:after="0"/>
            </w:pPr>
            <w:r>
              <w:rPr>
                <w:rFonts w:ascii="Arial" w:hAnsi="Arial"/>
                <w:b w:val="0"/>
                <w:sz w:val="14"/>
              </w:rPr>
              <w:t>3</w:t>
            </w:r>
          </w:p>
        </w:tc>
        <w:tc>
          <w:tcPr>
            <w:tcW w:type="dxa" w:w="5112"/>
            <w:tcMar>
              <w:top w:w="50" w:type="dxa"/>
              <w:start w:w="70" w:type="dxa"/>
              <w:bottom w:w="50" w:type="dxa"/>
              <w:end w:w="70" w:type="dxa"/>
            </w:tcMar>
            <w:shd w:fill="F7F7F7"/>
          </w:tcPr>
          <w:p>
            <w:pPr>
              <w:spacing w:after="0"/>
            </w:pPr>
            <w:r>
              <w:rPr>
                <w:rFonts w:ascii="Arial" w:hAnsi="Arial"/>
                <w:b w:val="0"/>
                <w:sz w:val="14"/>
              </w:rPr>
              <w:t>Fresh supply has dried up</w:t>
            </w:r>
          </w:p>
        </w:tc>
      </w:tr>
      <w:tr>
        <w:trPr>
          <w:cantSplit/>
        </w:trPr>
        <w:tc>
          <w:tcPr>
            <w:tcW w:type="dxa" w:w="2232"/>
            <w:tcMar>
              <w:top w:w="50" w:type="dxa"/>
              <w:start w:w="70" w:type="dxa"/>
              <w:bottom w:w="50" w:type="dxa"/>
              <w:end w:w="70" w:type="dxa"/>
            </w:tcMar>
          </w:tcPr>
          <w:p>
            <w:pPr>
              <w:spacing w:after="0"/>
            </w:pPr>
            <w:r>
              <w:rPr>
                <w:rFonts w:ascii="Arial" w:hAnsi="Arial"/>
                <w:b/>
                <w:sz w:val="14"/>
              </w:rPr>
              <w:t>31-60 days</w:t>
            </w:r>
          </w:p>
        </w:tc>
        <w:tc>
          <w:tcPr>
            <w:tcW w:type="dxa" w:w="1224"/>
            <w:tcMar>
              <w:top w:w="50" w:type="dxa"/>
              <w:start w:w="70" w:type="dxa"/>
              <w:bottom w:w="50" w:type="dxa"/>
              <w:end w:w="70" w:type="dxa"/>
            </w:tcMar>
          </w:tcPr>
          <w:p>
            <w:pPr>
              <w:spacing w:after="0"/>
            </w:pPr>
            <w:r>
              <w:rPr>
                <w:rFonts w:ascii="Arial" w:hAnsi="Arial"/>
                <w:b w:val="0"/>
                <w:sz w:val="14"/>
              </w:rPr>
              <w:t>11</w:t>
            </w:r>
          </w:p>
        </w:tc>
        <w:tc>
          <w:tcPr>
            <w:tcW w:type="dxa" w:w="1224"/>
            <w:tcMar>
              <w:top w:w="50" w:type="dxa"/>
              <w:start w:w="70" w:type="dxa"/>
              <w:bottom w:w="50" w:type="dxa"/>
              <w:end w:w="70" w:type="dxa"/>
            </w:tcMar>
          </w:tcPr>
          <w:p>
            <w:pPr>
              <w:spacing w:after="0"/>
            </w:pPr>
            <w:r>
              <w:rPr>
                <w:rFonts w:ascii="Arial" w:hAnsi="Arial"/>
                <w:b w:val="0"/>
                <w:sz w:val="14"/>
              </w:rPr>
              <w:t>11</w:t>
            </w:r>
          </w:p>
        </w:tc>
        <w:tc>
          <w:tcPr>
            <w:tcW w:type="dxa" w:w="1224"/>
            <w:tcMar>
              <w:top w:w="50" w:type="dxa"/>
              <w:start w:w="70" w:type="dxa"/>
              <w:bottom w:w="50" w:type="dxa"/>
              <w:end w:w="70" w:type="dxa"/>
            </w:tcMar>
          </w:tcPr>
          <w:p>
            <w:pPr>
              <w:spacing w:after="0"/>
            </w:pPr>
            <w:r>
              <w:rPr>
                <w:rFonts w:ascii="Arial" w:hAnsi="Arial"/>
                <w:b w:val="0"/>
                <w:sz w:val="14"/>
              </w:rPr>
              <w:t>14</w:t>
            </w:r>
          </w:p>
        </w:tc>
        <w:tc>
          <w:tcPr>
            <w:tcW w:type="dxa" w:w="5112"/>
            <w:tcMar>
              <w:top w:w="50" w:type="dxa"/>
              <w:start w:w="70" w:type="dxa"/>
              <w:bottom w:w="50" w:type="dxa"/>
              <w:end w:w="70" w:type="dxa"/>
            </w:tcMar>
          </w:tcPr>
          <w:p>
            <w:pPr>
              <w:spacing w:after="0"/>
            </w:pPr>
            <w:r>
              <w:rPr>
                <w:rFonts w:ascii="Arial" w:hAnsi="Arial"/>
                <w:b w:val="0"/>
                <w:sz w:val="14"/>
              </w:rPr>
              <w:t>Recent listings are rolling forward</w:t>
            </w:r>
          </w:p>
        </w:tc>
      </w:tr>
      <w:tr>
        <w:trPr>
          <w:cantSplit/>
        </w:trPr>
        <w:tc>
          <w:tcPr>
            <w:tcW w:type="dxa" w:w="2232"/>
            <w:tcMar>
              <w:top w:w="50" w:type="dxa"/>
              <w:start w:w="70" w:type="dxa"/>
              <w:bottom w:w="50" w:type="dxa"/>
              <w:end w:w="70" w:type="dxa"/>
            </w:tcMar>
            <w:shd w:fill="F7F7F7"/>
          </w:tcPr>
          <w:p>
            <w:pPr>
              <w:spacing w:after="0"/>
            </w:pPr>
            <w:r>
              <w:rPr>
                <w:rFonts w:ascii="Arial" w:hAnsi="Arial"/>
                <w:b/>
                <w:sz w:val="14"/>
              </w:rPr>
              <w:t>61-90 days</w:t>
            </w:r>
          </w:p>
        </w:tc>
        <w:tc>
          <w:tcPr>
            <w:tcW w:type="dxa" w:w="1224"/>
            <w:tcMar>
              <w:top w:w="50" w:type="dxa"/>
              <w:start w:w="70" w:type="dxa"/>
              <w:bottom w:w="50" w:type="dxa"/>
              <w:end w:w="70" w:type="dxa"/>
            </w:tcMar>
            <w:shd w:fill="F7F7F7"/>
          </w:tcPr>
          <w:p>
            <w:pPr>
              <w:spacing w:after="0"/>
            </w:pPr>
            <w:r>
              <w:rPr>
                <w:rFonts w:ascii="Arial" w:hAnsi="Arial"/>
                <w:b w:val="0"/>
                <w:sz w:val="14"/>
              </w:rPr>
              <w:t>1</w:t>
            </w:r>
          </w:p>
        </w:tc>
        <w:tc>
          <w:tcPr>
            <w:tcW w:type="dxa" w:w="1224"/>
            <w:tcMar>
              <w:top w:w="50" w:type="dxa"/>
              <w:start w:w="70" w:type="dxa"/>
              <w:bottom w:w="50" w:type="dxa"/>
              <w:end w:w="70" w:type="dxa"/>
            </w:tcMar>
            <w:shd w:fill="F7F7F7"/>
          </w:tcPr>
          <w:p>
            <w:pPr>
              <w:spacing w:after="0"/>
            </w:pPr>
            <w:r>
              <w:rPr>
                <w:rFonts w:ascii="Arial" w:hAnsi="Arial"/>
                <w:b w:val="0"/>
                <w:sz w:val="14"/>
              </w:rPr>
              <w:t>9</w:t>
            </w:r>
          </w:p>
        </w:tc>
        <w:tc>
          <w:tcPr>
            <w:tcW w:type="dxa" w:w="1224"/>
            <w:tcMar>
              <w:top w:w="50" w:type="dxa"/>
              <w:start w:w="70" w:type="dxa"/>
              <w:bottom w:w="50" w:type="dxa"/>
              <w:end w:w="70" w:type="dxa"/>
            </w:tcMar>
            <w:shd w:fill="F7F7F7"/>
          </w:tcPr>
          <w:p>
            <w:pPr>
              <w:spacing w:after="0"/>
            </w:pPr>
            <w:r>
              <w:rPr>
                <w:rFonts w:ascii="Arial" w:hAnsi="Arial"/>
                <w:b w:val="0"/>
                <w:sz w:val="14"/>
              </w:rPr>
              <w:t>9</w:t>
            </w:r>
          </w:p>
        </w:tc>
        <w:tc>
          <w:tcPr>
            <w:tcW w:type="dxa" w:w="5112"/>
            <w:tcMar>
              <w:top w:w="50" w:type="dxa"/>
              <w:start w:w="70" w:type="dxa"/>
              <w:bottom w:w="50" w:type="dxa"/>
              <w:end w:w="70" w:type="dxa"/>
            </w:tcMar>
            <w:shd w:fill="F7F7F7"/>
          </w:tcPr>
          <w:p>
            <w:pPr>
              <w:spacing w:after="0"/>
            </w:pPr>
            <w:r>
              <w:rPr>
                <w:rFonts w:ascii="Arial" w:hAnsi="Arial"/>
                <w:b w:val="0"/>
                <w:sz w:val="14"/>
              </w:rPr>
              <w:t>A large cohort is ageing in place</w:t>
            </w:r>
          </w:p>
        </w:tc>
      </w:tr>
      <w:tr>
        <w:trPr>
          <w:cantSplit/>
        </w:trPr>
        <w:tc>
          <w:tcPr>
            <w:tcW w:type="dxa" w:w="2232"/>
            <w:tcMar>
              <w:top w:w="50" w:type="dxa"/>
              <w:start w:w="70" w:type="dxa"/>
              <w:bottom w:w="50" w:type="dxa"/>
              <w:end w:w="70" w:type="dxa"/>
            </w:tcMar>
          </w:tcPr>
          <w:p>
            <w:pPr>
              <w:spacing w:after="0"/>
            </w:pPr>
            <w:r>
              <w:rPr>
                <w:rFonts w:ascii="Arial" w:hAnsi="Arial"/>
                <w:b/>
                <w:sz w:val="14"/>
              </w:rPr>
              <w:t>More than 90 days</w:t>
            </w:r>
          </w:p>
        </w:tc>
        <w:tc>
          <w:tcPr>
            <w:tcW w:type="dxa" w:w="1224"/>
            <w:tcMar>
              <w:top w:w="50" w:type="dxa"/>
              <w:start w:w="70" w:type="dxa"/>
              <w:bottom w:w="50" w:type="dxa"/>
              <w:end w:w="70" w:type="dxa"/>
            </w:tcMar>
          </w:tcPr>
          <w:p>
            <w:pPr>
              <w:spacing w:after="0"/>
            </w:pPr>
            <w:r>
              <w:rPr>
                <w:rFonts w:ascii="Arial" w:hAnsi="Arial"/>
                <w:b w:val="0"/>
                <w:sz w:val="14"/>
              </w:rPr>
              <w:t>12</w:t>
            </w:r>
          </w:p>
        </w:tc>
        <w:tc>
          <w:tcPr>
            <w:tcW w:type="dxa" w:w="1224"/>
            <w:tcMar>
              <w:top w:w="50" w:type="dxa"/>
              <w:start w:w="70" w:type="dxa"/>
              <w:bottom w:w="50" w:type="dxa"/>
              <w:end w:w="70" w:type="dxa"/>
            </w:tcMar>
          </w:tcPr>
          <w:p>
            <w:pPr>
              <w:spacing w:after="0"/>
            </w:pPr>
            <w:r>
              <w:rPr>
                <w:rFonts w:ascii="Arial" w:hAnsi="Arial"/>
                <w:b w:val="0"/>
                <w:sz w:val="14"/>
              </w:rPr>
              <w:t>11</w:t>
            </w:r>
          </w:p>
        </w:tc>
        <w:tc>
          <w:tcPr>
            <w:tcW w:type="dxa" w:w="1224"/>
            <w:tcMar>
              <w:top w:w="50" w:type="dxa"/>
              <w:start w:w="70" w:type="dxa"/>
              <w:bottom w:w="50" w:type="dxa"/>
              <w:end w:w="70" w:type="dxa"/>
            </w:tcMar>
          </w:tcPr>
          <w:p>
            <w:pPr>
              <w:spacing w:after="0"/>
            </w:pPr>
            <w:r>
              <w:rPr>
                <w:rFonts w:ascii="Arial" w:hAnsi="Arial"/>
                <w:b w:val="0"/>
                <w:sz w:val="14"/>
              </w:rPr>
              <w:t>12</w:t>
            </w:r>
          </w:p>
        </w:tc>
        <w:tc>
          <w:tcPr>
            <w:tcW w:type="dxa" w:w="5112"/>
            <w:tcMar>
              <w:top w:w="50" w:type="dxa"/>
              <w:start w:w="70" w:type="dxa"/>
              <w:bottom w:w="50" w:type="dxa"/>
              <w:end w:w="70" w:type="dxa"/>
            </w:tcMar>
          </w:tcPr>
          <w:p>
            <w:pPr>
              <w:spacing w:after="0"/>
            </w:pPr>
            <w:r>
              <w:rPr>
                <w:rFonts w:ascii="Arial" w:hAnsi="Arial"/>
                <w:b w:val="0"/>
                <w:sz w:val="14"/>
              </w:rPr>
              <w:t>Nearly one-third of current inventory</w:t>
            </w:r>
          </w:p>
        </w:tc>
      </w:tr>
      <w:tr>
        <w:trPr>
          <w:cantSplit/>
        </w:trPr>
        <w:tc>
          <w:tcPr>
            <w:tcW w:type="dxa" w:w="2232"/>
            <w:tcMar>
              <w:top w:w="50" w:type="dxa"/>
              <w:start w:w="70" w:type="dxa"/>
              <w:bottom w:w="50" w:type="dxa"/>
              <w:end w:w="70" w:type="dxa"/>
            </w:tcMar>
            <w:shd w:fill="F7F7F7"/>
          </w:tcPr>
          <w:p>
            <w:pPr>
              <w:spacing w:after="0"/>
            </w:pPr>
            <w:r>
              <w:rPr>
                <w:rFonts w:ascii="Arial" w:hAnsi="Arial"/>
                <w:b/>
                <w:sz w:val="14"/>
              </w:rPr>
              <w:t>More than 120 days</w:t>
            </w:r>
          </w:p>
        </w:tc>
        <w:tc>
          <w:tcPr>
            <w:tcW w:type="dxa" w:w="1224"/>
            <w:tcMar>
              <w:top w:w="50" w:type="dxa"/>
              <w:start w:w="70" w:type="dxa"/>
              <w:bottom w:w="50" w:type="dxa"/>
              <w:end w:w="70" w:type="dxa"/>
            </w:tcMar>
            <w:shd w:fill="F7F7F7"/>
          </w:tcPr>
          <w:p>
            <w:pPr>
              <w:spacing w:after="0"/>
            </w:pPr>
            <w:r>
              <w:rPr>
                <w:rFonts w:ascii="Arial" w:hAnsi="Arial"/>
                <w:b w:val="0"/>
                <w:sz w:val="14"/>
              </w:rPr>
              <w:t>9</w:t>
            </w:r>
          </w:p>
        </w:tc>
        <w:tc>
          <w:tcPr>
            <w:tcW w:type="dxa" w:w="1224"/>
            <w:tcMar>
              <w:top w:w="50" w:type="dxa"/>
              <w:start w:w="70" w:type="dxa"/>
              <w:bottom w:w="50" w:type="dxa"/>
              <w:end w:w="70" w:type="dxa"/>
            </w:tcMar>
            <w:shd w:fill="F7F7F7"/>
          </w:tcPr>
          <w:p>
            <w:pPr>
              <w:spacing w:after="0"/>
            </w:pPr>
            <w:r>
              <w:rPr>
                <w:rFonts w:ascii="Arial" w:hAnsi="Arial"/>
                <w:b w:val="0"/>
                <w:sz w:val="14"/>
              </w:rPr>
              <w:t>9</w:t>
            </w:r>
          </w:p>
        </w:tc>
        <w:tc>
          <w:tcPr>
            <w:tcW w:type="dxa" w:w="1224"/>
            <w:tcMar>
              <w:top w:w="50" w:type="dxa"/>
              <w:start w:w="70" w:type="dxa"/>
              <w:bottom w:w="50" w:type="dxa"/>
              <w:end w:w="70" w:type="dxa"/>
            </w:tcMar>
            <w:shd w:fill="F7F7F7"/>
          </w:tcPr>
          <w:p>
            <w:pPr>
              <w:spacing w:after="0"/>
            </w:pPr>
            <w:r>
              <w:rPr>
                <w:rFonts w:ascii="Arial" w:hAnsi="Arial"/>
                <w:b w:val="0"/>
                <w:sz w:val="14"/>
              </w:rPr>
              <w:t>10</w:t>
            </w:r>
          </w:p>
        </w:tc>
        <w:tc>
          <w:tcPr>
            <w:tcW w:type="dxa" w:w="5112"/>
            <w:tcMar>
              <w:top w:w="50" w:type="dxa"/>
              <w:start w:w="70" w:type="dxa"/>
              <w:bottom w:w="50" w:type="dxa"/>
              <w:end w:w="70" w:type="dxa"/>
            </w:tcMar>
            <w:shd w:fill="F7F7F7"/>
          </w:tcPr>
          <w:p>
            <w:pPr>
              <w:spacing w:after="0"/>
            </w:pPr>
            <w:r>
              <w:rPr>
                <w:rFonts w:ascii="Arial" w:hAnsi="Arial"/>
                <w:b w:val="0"/>
                <w:sz w:val="14"/>
              </w:rPr>
              <w:t>Persistent stale-listing segment</w:t>
            </w:r>
          </w:p>
        </w:tc>
      </w:tr>
    </w:tbl>
    <w:p>
      <w:pPr>
        <w:pStyle w:val="H2X"/>
        <w:spacing w:before="140" w:after="60"/>
      </w:pPr>
      <w:r>
        <w:t>Price resistance remains strong</w:t>
      </w:r>
    </w:p>
    <w:p>
      <w:r>
        <w:t>Despite the worsening age profile, there is little evidence yet of broad seller capitulation. Of the 38 properties that were present in both the October 4 and October 11 snapshots, 37 kept the same asking price. Only 483 Vancouver Road SE in Rio Rancho changed, falling from $600,000 to $595,000. Looking back to September, three of the 29 listings that have persisted through the full five-week period show lower asking prices: 715 Fruit Avenue NW, 95 Eventide Road SE and 907 Silver Avenue SW. The dominant seller response has therefore been to wait rather than cut.</w:t>
      </w:r>
    </w:p>
    <w:p>
      <w:pPr>
        <w:pStyle w:val="H2X"/>
        <w:spacing w:before="80" w:after="60"/>
      </w:pPr>
      <w:r>
        <w:t>Geography: still a Southeast story</w:t>
      </w:r>
    </w:p>
    <w:p>
      <w:r>
        <w:t>The location pattern has barely changed. On October 11, 18 of the 38 available properties were in Albuquerque's Southeast quadrant and 11 were in the Northeast; together they represented more than three-quarters of the total inventory. The Northwest held three listings and the Southwest two, with three Rio Rancho properties and one Los Ranchos property making up the balance. The two listings that left the market during the latest week were one Southeast and one Southwest property, so the geographic mix remains broadly intact.</w:t>
      </w:r>
    </w:p>
    <w:tbl>
      <w:tblPr>
        <w:tblW w:type="auto" w:w="0"/>
        <w:jc w:val="center"/>
        <w:tblLook w:firstColumn="1" w:firstRow="1" w:lastColumn="0" w:lastRow="0" w:noHBand="0" w:noVBand="1" w:val="04A0"/>
      </w:tblPr>
      <w:tblGrid>
        <w:gridCol w:w="10570"/>
      </w:tblGrid>
      <w:tr>
        <w:trPr>
          <w:cantSplit/>
        </w:trPr>
        <w:tc>
          <w:tcPr>
            <w:tcW w:type="dxa" w:w="10570"/>
            <w:shd w:fill="F2F2F2"/>
            <w:tcMar>
              <w:top w:w="110" w:type="dxa"/>
              <w:start w:w="120" w:type="dxa"/>
              <w:bottom w:w="110" w:type="dxa"/>
              <w:end w:w="120" w:type="dxa"/>
            </w:tcMar>
          </w:tcPr>
          <w:p>
            <w:pPr>
              <w:spacing w:after="60"/>
            </w:pPr>
            <w:r>
              <w:rPr>
                <w:rFonts w:ascii="Arial" w:hAnsi="Arial"/>
                <w:b/>
                <w:color w:val="D71920"/>
                <w:sz w:val="16"/>
              </w:rPr>
              <w:t>THE SIGNAL</w:t>
            </w:r>
          </w:p>
          <w:p>
            <w:pPr>
              <w:spacing w:after="0"/>
            </w:pPr>
            <w:r>
              <w:rPr>
                <w:rFonts w:ascii="Georgia" w:hAnsi="Georgia"/>
                <w:b/>
                <w:sz w:val="20"/>
              </w:rPr>
              <w:t>The market is tightening in count but weakening in velocity.</w:t>
            </w:r>
            <w:r>
              <w:t xml:space="preserve"> A 5% weekly drop in inventory might normally look bullish. Here, however, it comes with no new listings, a nine-day jump in average DOM and virtually no price movement. Unless fresh supply or stronger demand appears, the next pressure point is likely to be seller pricing on the older cohort rather than a meaningful rise in market values.</w:t>
            </w:r>
          </w:p>
        </w:tc>
      </w:tr>
    </w:tbl>
    <w:p>
      <w:pPr>
        <w:pStyle w:val="H2X"/>
        <w:spacing w:before="120" w:after="40"/>
      </w:pPr>
      <w:r>
        <w:t>What to watch next week</w:t>
      </w:r>
    </w:p>
    <w:p>
      <w:pPr>
        <w:spacing w:after="50"/>
        <w:ind w:left="259" w:hanging="173"/>
      </w:pPr>
      <w:r>
        <w:rPr>
          <w:b/>
          <w:color w:val="D71920"/>
        </w:rPr>
        <w:t xml:space="preserve">• </w:t>
      </w:r>
      <w:r>
        <w:t>Whether inventory continues below 40 or new listings replenish the two recent departures.</w:t>
      </w:r>
    </w:p>
    <w:p>
      <w:pPr>
        <w:spacing w:after="50"/>
        <w:ind w:left="259" w:hanging="173"/>
      </w:pPr>
      <w:r>
        <w:rPr>
          <w:b/>
          <w:color w:val="D71920"/>
        </w:rPr>
        <w:t xml:space="preserve">• </w:t>
      </w:r>
      <w:r>
        <w:t>Whether average DOM pushes through 90 days - a psychologically important threshold for a small investment-property market.</w:t>
      </w:r>
    </w:p>
    <w:p>
      <w:pPr>
        <w:spacing w:after="50"/>
        <w:ind w:left="259" w:hanging="173"/>
      </w:pPr>
      <w:r>
        <w:rPr>
          <w:b/>
          <w:color w:val="D71920"/>
        </w:rPr>
        <w:t xml:space="preserve">• </w:t>
      </w:r>
      <w:r>
        <w:t>Whether the 90-plus-day listings begin to cut prices in greater numbers; that would mark a shift from time-based adjustment to price-based adjustment.</w:t>
      </w:r>
    </w:p>
    <w:p>
      <w:pPr>
        <w:spacing w:after="50"/>
        <w:ind w:left="259" w:hanging="173"/>
      </w:pPr>
      <w:r>
        <w:rPr>
          <w:b/>
          <w:color w:val="D71920"/>
        </w:rPr>
        <w:t xml:space="preserve">• </w:t>
      </w:r>
      <w:r>
        <w:t>Whether the median finally moves below $505,000. For now, it is the clearest evidence of price stickiness.</w:t>
      </w:r>
    </w:p>
    <w:p>
      <w:pPr>
        <w:pStyle w:val="SmallX"/>
        <w:spacing w:before="80" w:after="0"/>
      </w:pPr>
      <w:r>
        <w:t>Source: Southwest Multiple Listing Service residential-income CMA snapshots dated September 6, October 4 and October 11, 2026. Listings are active / coming soon four-unit properties. Snapshot removals do not identify the subsequent status of a property.</w:t>
      </w:r>
    </w:p>
    <w:sectPr w:rsidR="00FC693F" w:rsidRPr="0006063C" w:rsidSect="00034616">
      <w:footerReference w:type="default" r:id="rId9"/>
      <w:pgSz w:w="12240" w:h="15840"/>
      <w:pgMar w:top="691" w:right="835" w:bottom="691"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6666"/>
        <w:sz w:val="14"/>
      </w:rPr>
      <w:t>Fourplex Market Update | October 11,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0" w:lineRule="auto"/>
    </w:pPr>
    <w:rPr>
      <w:rFonts w:ascii="Georgia" w:hAnsi="Georgia" w:eastAsia="Georgi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rial" w:hAnsi="Arial" w:eastAsia="Arial"/>
      <w:b/>
      <w:color w:val="D71920"/>
      <w:sz w:val="16"/>
    </w:rPr>
  </w:style>
  <w:style w:type="paragraph" w:customStyle="1" w:styleId="TitleX">
    <w:name w:val="TitleX"/>
    <w:rPr>
      <w:rFonts w:ascii="Arial" w:hAnsi="Arial" w:eastAsia="Arial"/>
      <w:b/>
      <w:color w:val="222222"/>
      <w:sz w:val="50"/>
    </w:rPr>
  </w:style>
  <w:style w:type="paragraph" w:customStyle="1" w:styleId="Deck">
    <w:name w:val="Deck"/>
    <w:rPr>
      <w:rFonts w:ascii="Georgia" w:hAnsi="Georgia" w:eastAsia="Georgia"/>
      <w:b w:val="0"/>
      <w:color w:val="666666"/>
      <w:sz w:val="22"/>
    </w:rPr>
  </w:style>
  <w:style w:type="paragraph" w:customStyle="1" w:styleId="H1X">
    <w:name w:val="H1X"/>
    <w:rPr>
      <w:rFonts w:ascii="Arial" w:hAnsi="Arial" w:eastAsia="Arial"/>
      <w:b/>
      <w:color w:val="222222"/>
      <w:sz w:val="26"/>
    </w:rPr>
  </w:style>
  <w:style w:type="paragraph" w:customStyle="1" w:styleId="H2X">
    <w:name w:val="H2X"/>
    <w:rPr>
      <w:rFonts w:ascii="Arial" w:hAnsi="Arial" w:eastAsia="Arial"/>
      <w:b/>
      <w:color w:val="222222"/>
      <w:sz w:val="21"/>
    </w:rPr>
  </w:style>
  <w:style w:type="paragraph" w:customStyle="1" w:styleId="SmallX">
    <w:name w:val="SmallX"/>
    <w:rPr>
      <w:rFonts w:ascii="Arial" w:hAnsi="Arial" w:eastAsia="Arial"/>
      <w:b w:val="0"/>
      <w:color w:val="666666"/>
      <w:sz w:val="15"/>
    </w:rPr>
  </w:style>
  <w:style w:type="paragraph" w:customStyle="1" w:styleId="CalloutX">
    <w:name w:val="CalloutX"/>
    <w:rPr>
      <w:rFonts w:ascii="Georgia" w:hAnsi="Georgia" w:eastAsia="Georgia"/>
      <w:b/>
      <w:color w:val="222222"/>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