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24" w:color="D12B32"/>
        </w:pBdr>
      </w:pPr>
      <w:r>
        <w:rPr>
          <w:rFonts w:ascii="Arial" w:hAnsi="Arial"/>
          <w:b/>
          <w:color w:val="C6242A"/>
          <w:sz w:val="17"/>
        </w:rPr>
        <w:t>PROPERTY  /  NEW MEXICO  /  17 OCTOBER 2026</w:t>
      </w:r>
    </w:p>
    <w:p>
      <w:pPr>
        <w:pStyle w:val="Title"/>
      </w:pPr>
      <w:r>
        <w:t>A softer asking price, not necessarily a cheaper flat</w:t>
      </w:r>
    </w:p>
    <w:p>
      <w:pPr>
        <w:pStyle w:val="Subtitle"/>
      </w:pPr>
      <w:r>
        <w:rPr>
          <w:rFonts w:ascii="Georgia" w:hAnsi="Georgia"/>
          <w:i/>
          <w:sz w:val="22"/>
        </w:rPr>
        <w:t>Albuquerque’s Craigslist median fell by 8% in a week. The move says more about the advertisements being placed than it does about the rent agreed at the lease table.</w:t>
      </w:r>
    </w:p>
    <w:p>
      <w:r>
        <w:t>The rent advertised on a noticeboard is not the rent paid by a tenant. On October 17, Craigslist displayed 359 apartment-and-housing advertisements across greater Albuquerque, up from 351 on October 10. Of those, 285 offered conventional monthly rentals, four fewer than a week earlier. The median asking rent among those advertisements slipped from $1,250 to $1,150, while the average fell from $1,299 to $1,259. A single week of changes in listings cannot establish that rents on comparable apartments have fallen by the same amount.</w:t>
      </w:r>
    </w:p>
    <w:p>
      <w:pPr>
        <w:pStyle w:val="Heading1"/>
      </w:pPr>
      <w:r>
        <w:t>The numbers behind the headlines</w:t>
      </w:r>
    </w:p>
    <w:tbl>
      <w:tblPr>
        <w:tblStyle w:val="LightShading-Accent1"/>
        <w:tblW w:type="auto" w:w="0"/>
        <w:jc w:val="center"/>
        <w:tblLook w:firstColumn="1" w:firstRow="1" w:lastColumn="0" w:lastRow="0" w:noHBand="0" w:noVBand="1" w:val="04A0"/>
      </w:tblPr>
      <w:tblGrid>
        <w:gridCol w:w="2469"/>
        <w:gridCol w:w="2469"/>
        <w:gridCol w:w="2469"/>
        <w:gridCol w:w="2469"/>
      </w:tblGrid>
      <w:tr>
        <w:tc>
          <w:tcPr>
            <w:tcW w:type="dxa" w:w="2469"/>
            <w:vAlign w:val="center"/>
            <w:shd w:fill="E5E9EF"/>
          </w:tcPr>
          <w:p>
            <w:pPr>
              <w:spacing w:after="20" w:before="20"/>
            </w:pPr>
            <w:r>
              <w:rPr>
                <w:rFonts w:ascii="Arial" w:hAnsi="Arial"/>
                <w:b/>
                <w:color w:val="1E2733"/>
                <w:sz w:val="16"/>
              </w:rPr>
              <w:t>Indicator</w:t>
            </w:r>
          </w:p>
        </w:tc>
        <w:tc>
          <w:tcPr>
            <w:tcW w:type="dxa" w:w="2469"/>
            <w:vAlign w:val="center"/>
            <w:shd w:fill="E5E9EF"/>
          </w:tcPr>
          <w:p>
            <w:pPr>
              <w:spacing w:after="20" w:before="20"/>
            </w:pPr>
            <w:r>
              <w:rPr>
                <w:rFonts w:ascii="Arial" w:hAnsi="Arial"/>
                <w:b/>
                <w:color w:val="1E2733"/>
                <w:sz w:val="16"/>
              </w:rPr>
              <w:t>10 Oct</w:t>
            </w:r>
          </w:p>
        </w:tc>
        <w:tc>
          <w:tcPr>
            <w:tcW w:type="dxa" w:w="2469"/>
            <w:vAlign w:val="center"/>
            <w:shd w:fill="E5E9EF"/>
          </w:tcPr>
          <w:p>
            <w:pPr>
              <w:spacing w:after="20" w:before="20"/>
            </w:pPr>
            <w:r>
              <w:rPr>
                <w:rFonts w:ascii="Arial" w:hAnsi="Arial"/>
                <w:b/>
                <w:color w:val="1E2733"/>
                <w:sz w:val="16"/>
              </w:rPr>
              <w:t>17 Oct</w:t>
            </w:r>
          </w:p>
        </w:tc>
        <w:tc>
          <w:tcPr>
            <w:tcW w:type="dxa" w:w="2469"/>
            <w:vAlign w:val="center"/>
            <w:shd w:fill="E5E9EF"/>
          </w:tcPr>
          <w:p>
            <w:pPr>
              <w:spacing w:after="20" w:before="20"/>
            </w:pPr>
            <w:r>
              <w:rPr>
                <w:rFonts w:ascii="Arial" w:hAnsi="Arial"/>
                <w:b/>
                <w:color w:val="1E2733"/>
                <w:sz w:val="16"/>
              </w:rPr>
              <w:t>Change</w:t>
            </w:r>
          </w:p>
        </w:tc>
      </w:tr>
      <w:tr>
        <w:tc>
          <w:tcPr>
            <w:tcW w:type="dxa" w:w="2469"/>
            <w:vAlign w:val="center"/>
          </w:tcPr>
          <w:p>
            <w:pPr>
              <w:spacing w:after="20" w:before="20"/>
            </w:pPr>
            <w:r>
              <w:rPr>
                <w:rFonts w:ascii="Arial" w:hAnsi="Arial"/>
                <w:color w:val="1E2733"/>
                <w:sz w:val="16"/>
              </w:rPr>
              <w:t>All visible advertisements</w:t>
            </w:r>
          </w:p>
        </w:tc>
        <w:tc>
          <w:tcPr>
            <w:tcW w:type="dxa" w:w="2469"/>
            <w:vAlign w:val="center"/>
          </w:tcPr>
          <w:p>
            <w:pPr>
              <w:spacing w:after="20" w:before="20"/>
            </w:pPr>
            <w:r>
              <w:rPr>
                <w:rFonts w:ascii="Arial" w:hAnsi="Arial"/>
                <w:color w:val="1E2733"/>
                <w:sz w:val="16"/>
              </w:rPr>
              <w:t>351</w:t>
            </w:r>
          </w:p>
        </w:tc>
        <w:tc>
          <w:tcPr>
            <w:tcW w:type="dxa" w:w="2469"/>
            <w:vAlign w:val="center"/>
          </w:tcPr>
          <w:p>
            <w:pPr>
              <w:spacing w:after="20" w:before="20"/>
            </w:pPr>
            <w:r>
              <w:rPr>
                <w:rFonts w:ascii="Arial" w:hAnsi="Arial"/>
                <w:color w:val="1E2733"/>
                <w:sz w:val="16"/>
              </w:rPr>
              <w:t>359</w:t>
            </w:r>
          </w:p>
        </w:tc>
        <w:tc>
          <w:tcPr>
            <w:tcW w:type="dxa" w:w="2469"/>
            <w:vAlign w:val="center"/>
          </w:tcPr>
          <w:p>
            <w:pPr>
              <w:spacing w:after="20" w:before="20"/>
            </w:pPr>
            <w:r>
              <w:rPr>
                <w:rFonts w:ascii="Arial" w:hAnsi="Arial"/>
                <w:color w:val="1E2733"/>
                <w:sz w:val="16"/>
              </w:rPr>
              <w:t>+2.3%</w:t>
            </w:r>
          </w:p>
        </w:tc>
      </w:tr>
      <w:tr>
        <w:tc>
          <w:tcPr>
            <w:tcW w:type="dxa" w:w="2469"/>
            <w:vAlign w:val="center"/>
          </w:tcPr>
          <w:p>
            <w:pPr>
              <w:spacing w:after="20" w:before="20"/>
            </w:pPr>
            <w:r>
              <w:rPr>
                <w:rFonts w:ascii="Arial" w:hAnsi="Arial"/>
                <w:color w:val="1E2733"/>
                <w:sz w:val="16"/>
              </w:rPr>
              <w:t>Conventional monthly ads</w:t>
            </w:r>
          </w:p>
        </w:tc>
        <w:tc>
          <w:tcPr>
            <w:tcW w:type="dxa" w:w="2469"/>
            <w:vAlign w:val="center"/>
          </w:tcPr>
          <w:p>
            <w:pPr>
              <w:spacing w:after="20" w:before="20"/>
            </w:pPr>
            <w:r>
              <w:rPr>
                <w:rFonts w:ascii="Arial" w:hAnsi="Arial"/>
                <w:color w:val="1E2733"/>
                <w:sz w:val="16"/>
              </w:rPr>
              <w:t>289</w:t>
            </w:r>
          </w:p>
        </w:tc>
        <w:tc>
          <w:tcPr>
            <w:tcW w:type="dxa" w:w="2469"/>
            <w:vAlign w:val="center"/>
          </w:tcPr>
          <w:p>
            <w:pPr>
              <w:spacing w:after="20" w:before="20"/>
            </w:pPr>
            <w:r>
              <w:rPr>
                <w:rFonts w:ascii="Arial" w:hAnsi="Arial"/>
                <w:color w:val="1E2733"/>
                <w:sz w:val="16"/>
              </w:rPr>
              <w:t>285</w:t>
            </w:r>
          </w:p>
        </w:tc>
        <w:tc>
          <w:tcPr>
            <w:tcW w:type="dxa" w:w="2469"/>
            <w:vAlign w:val="center"/>
          </w:tcPr>
          <w:p>
            <w:pPr>
              <w:spacing w:after="20" w:before="20"/>
            </w:pPr>
            <w:r>
              <w:rPr>
                <w:rFonts w:ascii="Arial" w:hAnsi="Arial"/>
                <w:color w:val="1E2733"/>
                <w:sz w:val="16"/>
              </w:rPr>
              <w:t>−1.4%</w:t>
            </w:r>
          </w:p>
        </w:tc>
      </w:tr>
      <w:tr>
        <w:tc>
          <w:tcPr>
            <w:tcW w:type="dxa" w:w="2469"/>
            <w:vAlign w:val="center"/>
          </w:tcPr>
          <w:p>
            <w:pPr>
              <w:spacing w:after="20" w:before="20"/>
            </w:pPr>
            <w:r>
              <w:rPr>
                <w:rFonts w:ascii="Arial" w:hAnsi="Arial"/>
                <w:color w:val="1E2733"/>
                <w:sz w:val="16"/>
              </w:rPr>
              <w:t>Median asking rent</w:t>
            </w:r>
          </w:p>
        </w:tc>
        <w:tc>
          <w:tcPr>
            <w:tcW w:type="dxa" w:w="2469"/>
            <w:vAlign w:val="center"/>
          </w:tcPr>
          <w:p>
            <w:pPr>
              <w:spacing w:after="20" w:before="20"/>
            </w:pPr>
            <w:r>
              <w:rPr>
                <w:rFonts w:ascii="Arial" w:hAnsi="Arial"/>
                <w:color w:val="1E2733"/>
                <w:sz w:val="16"/>
              </w:rPr>
              <w:t>$1,250</w:t>
            </w:r>
          </w:p>
        </w:tc>
        <w:tc>
          <w:tcPr>
            <w:tcW w:type="dxa" w:w="2469"/>
            <w:vAlign w:val="center"/>
          </w:tcPr>
          <w:p>
            <w:pPr>
              <w:spacing w:after="20" w:before="20"/>
            </w:pPr>
            <w:r>
              <w:rPr>
                <w:rFonts w:ascii="Arial" w:hAnsi="Arial"/>
                <w:color w:val="1E2733"/>
                <w:sz w:val="16"/>
              </w:rPr>
              <w:t>$1,150</w:t>
            </w:r>
          </w:p>
        </w:tc>
        <w:tc>
          <w:tcPr>
            <w:tcW w:type="dxa" w:w="2469"/>
            <w:vAlign w:val="center"/>
          </w:tcPr>
          <w:p>
            <w:pPr>
              <w:spacing w:after="20" w:before="20"/>
            </w:pPr>
            <w:r>
              <w:rPr>
                <w:rFonts w:ascii="Arial" w:hAnsi="Arial"/>
                <w:color w:val="1E2733"/>
                <w:sz w:val="16"/>
              </w:rPr>
              <w:t>−8.0%</w:t>
            </w:r>
          </w:p>
        </w:tc>
      </w:tr>
      <w:tr>
        <w:tc>
          <w:tcPr>
            <w:tcW w:type="dxa" w:w="2469"/>
            <w:vAlign w:val="center"/>
          </w:tcPr>
          <w:p>
            <w:pPr>
              <w:spacing w:after="20" w:before="20"/>
            </w:pPr>
            <w:r>
              <w:rPr>
                <w:rFonts w:ascii="Arial" w:hAnsi="Arial"/>
                <w:color w:val="1E2733"/>
                <w:sz w:val="16"/>
              </w:rPr>
              <w:t>Mean asking rent</w:t>
            </w:r>
          </w:p>
        </w:tc>
        <w:tc>
          <w:tcPr>
            <w:tcW w:type="dxa" w:w="2469"/>
            <w:vAlign w:val="center"/>
          </w:tcPr>
          <w:p>
            <w:pPr>
              <w:spacing w:after="20" w:before="20"/>
            </w:pPr>
            <w:r>
              <w:rPr>
                <w:rFonts w:ascii="Arial" w:hAnsi="Arial"/>
                <w:color w:val="1E2733"/>
                <w:sz w:val="16"/>
              </w:rPr>
              <w:t>$1,299</w:t>
            </w:r>
          </w:p>
        </w:tc>
        <w:tc>
          <w:tcPr>
            <w:tcW w:type="dxa" w:w="2469"/>
            <w:vAlign w:val="center"/>
          </w:tcPr>
          <w:p>
            <w:pPr>
              <w:spacing w:after="20" w:before="20"/>
            </w:pPr>
            <w:r>
              <w:rPr>
                <w:rFonts w:ascii="Arial" w:hAnsi="Arial"/>
                <w:color w:val="1E2733"/>
                <w:sz w:val="16"/>
              </w:rPr>
              <w:t>$1,259</w:t>
            </w:r>
          </w:p>
        </w:tc>
        <w:tc>
          <w:tcPr>
            <w:tcW w:type="dxa" w:w="2469"/>
            <w:vAlign w:val="center"/>
          </w:tcPr>
          <w:p>
            <w:pPr>
              <w:spacing w:after="20" w:before="20"/>
            </w:pPr>
            <w:r>
              <w:rPr>
                <w:rFonts w:ascii="Arial" w:hAnsi="Arial"/>
                <w:color w:val="1E2733"/>
                <w:sz w:val="16"/>
              </w:rPr>
              <w:t>−3.0%</w:t>
            </w:r>
          </w:p>
        </w:tc>
      </w:tr>
      <w:tr>
        <w:tc>
          <w:tcPr>
            <w:tcW w:type="dxa" w:w="2469"/>
            <w:vAlign w:val="center"/>
          </w:tcPr>
          <w:p>
            <w:pPr>
              <w:spacing w:after="20" w:before="20"/>
            </w:pPr>
            <w:r>
              <w:rPr>
                <w:rFonts w:ascii="Arial" w:hAnsi="Arial"/>
                <w:color w:val="1E2733"/>
                <w:sz w:val="16"/>
              </w:rPr>
              <w:t>Weekly flexible-stay ads</w:t>
            </w:r>
          </w:p>
        </w:tc>
        <w:tc>
          <w:tcPr>
            <w:tcW w:type="dxa" w:w="2469"/>
            <w:vAlign w:val="center"/>
          </w:tcPr>
          <w:p>
            <w:pPr>
              <w:spacing w:after="20" w:before="20"/>
            </w:pPr>
            <w:r>
              <w:rPr>
                <w:rFonts w:ascii="Arial" w:hAnsi="Arial"/>
                <w:color w:val="1E2733"/>
                <w:sz w:val="16"/>
              </w:rPr>
              <w:t>44</w:t>
            </w:r>
          </w:p>
        </w:tc>
        <w:tc>
          <w:tcPr>
            <w:tcW w:type="dxa" w:w="2469"/>
            <w:vAlign w:val="center"/>
          </w:tcPr>
          <w:p>
            <w:pPr>
              <w:spacing w:after="20" w:before="20"/>
            </w:pPr>
            <w:r>
              <w:rPr>
                <w:rFonts w:ascii="Arial" w:hAnsi="Arial"/>
                <w:color w:val="1E2733"/>
                <w:sz w:val="16"/>
              </w:rPr>
              <w:t>50</w:t>
            </w:r>
          </w:p>
        </w:tc>
        <w:tc>
          <w:tcPr>
            <w:tcW w:type="dxa" w:w="2469"/>
            <w:vAlign w:val="center"/>
          </w:tcPr>
          <w:p>
            <w:pPr>
              <w:spacing w:after="20" w:before="20"/>
            </w:pPr>
            <w:r>
              <w:rPr>
                <w:rFonts w:ascii="Arial" w:hAnsi="Arial"/>
                <w:color w:val="1E2733"/>
                <w:sz w:val="16"/>
              </w:rPr>
              <w:t>+13.6%</w:t>
            </w:r>
          </w:p>
        </w:tc>
      </w:tr>
      <w:tr>
        <w:tc>
          <w:tcPr>
            <w:tcW w:type="dxa" w:w="2469"/>
            <w:vAlign w:val="center"/>
          </w:tcPr>
          <w:p>
            <w:pPr>
              <w:spacing w:after="20" w:before="20"/>
            </w:pPr>
            <w:r>
              <w:rPr>
                <w:rFonts w:ascii="Arial" w:hAnsi="Arial"/>
                <w:color w:val="1E2733"/>
                <w:sz w:val="16"/>
              </w:rPr>
              <w:t>Monthly-price flexible stays</w:t>
            </w:r>
          </w:p>
        </w:tc>
        <w:tc>
          <w:tcPr>
            <w:tcW w:type="dxa" w:w="2469"/>
            <w:vAlign w:val="center"/>
          </w:tcPr>
          <w:p>
            <w:pPr>
              <w:spacing w:after="20" w:before="20"/>
            </w:pPr>
            <w:r>
              <w:rPr>
                <w:rFonts w:ascii="Arial" w:hAnsi="Arial"/>
                <w:color w:val="1E2733"/>
                <w:sz w:val="16"/>
              </w:rPr>
              <w:t>10</w:t>
            </w:r>
          </w:p>
        </w:tc>
        <w:tc>
          <w:tcPr>
            <w:tcW w:type="dxa" w:w="2469"/>
            <w:vAlign w:val="center"/>
          </w:tcPr>
          <w:p>
            <w:pPr>
              <w:spacing w:after="20" w:before="20"/>
            </w:pPr>
            <w:r>
              <w:rPr>
                <w:rFonts w:ascii="Arial" w:hAnsi="Arial"/>
                <w:color w:val="1E2733"/>
                <w:sz w:val="16"/>
              </w:rPr>
              <w:t>11</w:t>
            </w:r>
          </w:p>
        </w:tc>
        <w:tc>
          <w:tcPr>
            <w:tcW w:type="dxa" w:w="2469"/>
            <w:vAlign w:val="center"/>
          </w:tcPr>
          <w:p>
            <w:pPr>
              <w:spacing w:after="20" w:before="20"/>
            </w:pPr>
            <w:r>
              <w:rPr>
                <w:rFonts w:ascii="Arial" w:hAnsi="Arial"/>
                <w:color w:val="1E2733"/>
                <w:sz w:val="16"/>
              </w:rPr>
              <w:t>+1 ad</w:t>
            </w:r>
          </w:p>
        </w:tc>
      </w:tr>
    </w:tbl>
    <w:p>
      <w:r>
        <w:t>The lower median persists after a simple correction for duplicate marketing. Removing repeat advertisements with the same headline and price lifts the October 17 median to $1,166.50; the comparable October 10 calculation was $1,218. That is still a decline, but one that cannot be separated from changes in unit sizes, neighborhoods and the number of times landlords choose to advertise.</w:t>
      </w:r>
    </w:p>
    <w:p>
      <w:pPr>
        <w:pStyle w:val="Heading1"/>
      </w:pPr>
      <w:r>
        <w:t>The weekly room is back</w:t>
      </w:r>
    </w:p>
    <w:p>
      <w:r>
        <w:t>Flexible-stay operators placed 50 weekly-rate advertisements, up from 44. A further 11 quoted monthly prices for no-lease lodging. These 61 advertisements—17% of the search results—are not comparable to conventional apartment leases. Weekly prices clustered around $299–$365; the median works out to about $1,309 a month at 52 weeks divided by 12. Many promote furnished rooms, utilities, Wi-Fi and freedom from annual leases. Including their raw weekly prices in an apartment-rent average would make ordinary rents appear implausibly cheap.</w:t>
      </w:r>
    </w:p>
    <w:p>
      <w:r>
        <w:rPr>
          <w:b/>
          <w:color w:val="95252A"/>
        </w:rPr>
        <w:t>Interpretation  •  Advertising supply was broadly steady; the distribution of advertised rents shifted. Treat the fall in the median as a signal to test with matched properties, not proof of a market-wide repricing.</w:t>
      </w:r>
    </w:p>
    <w:p>
      <w:r>
        <w:br w:type="page"/>
      </w:r>
    </w:p>
    <w:p>
      <w:pPr>
        <w:pBdr>
          <w:bottom w:val="single" w:sz="24" w:color="D12B32"/>
        </w:pBdr>
      </w:pPr>
      <w:r>
        <w:rPr>
          <w:rFonts w:ascii="Arial" w:hAnsi="Arial"/>
          <w:b/>
          <w:color w:val="C6242A"/>
          <w:sz w:val="17"/>
        </w:rPr>
        <w:t>THE RENT LADDER  /  THE SELLER’S INCENTIVE</w:t>
      </w:r>
    </w:p>
    <w:p>
      <w:pPr>
        <w:pStyle w:val="Title"/>
      </w:pPr>
      <w:r>
        <w:t>Concessions are easier than cuts</w:t>
      </w:r>
    </w:p>
    <w:p>
      <w:r>
        <w:t>For advertisements disclosing a bedroom count, the median is $876 for studios (six ads), $1,054 for one-bedroom homes (72), $1,248 for two-bedrooms (85) and $1,600 for three-bedrooms (25). The lone four-bedroom ad asks $1,250; one observation is not a benchmark. Another 96 conventional advertisements do not disclose a reliable bedroom count in the available headline or verified detail. The figures describe a mix of promotions, not a constant-quality price ladder.</w:t>
      </w:r>
    </w:p>
    <w:tbl>
      <w:tblPr>
        <w:tblStyle w:val="LightShading-Accent1"/>
        <w:tblW w:type="auto" w:w="0"/>
        <w:jc w:val="center"/>
        <w:tblLook w:firstColumn="1" w:firstRow="1" w:lastColumn="0" w:lastRow="0" w:noHBand="0" w:noVBand="1" w:val="04A0"/>
      </w:tblPr>
      <w:tblGrid>
        <w:gridCol w:w="3293"/>
        <w:gridCol w:w="3293"/>
        <w:gridCol w:w="3293"/>
      </w:tblGrid>
      <w:tr>
        <w:tc>
          <w:tcPr>
            <w:tcW w:type="dxa" w:w="3293"/>
            <w:vAlign w:val="center"/>
            <w:shd w:fill="E5E9EF"/>
          </w:tcPr>
          <w:p>
            <w:pPr>
              <w:spacing w:after="20" w:before="20"/>
            </w:pPr>
            <w:r>
              <w:rPr>
                <w:rFonts w:ascii="Arial" w:hAnsi="Arial"/>
                <w:b/>
                <w:color w:val="1E2733"/>
                <w:sz w:val="16"/>
              </w:rPr>
              <w:t>Bedrooms</w:t>
            </w:r>
          </w:p>
        </w:tc>
        <w:tc>
          <w:tcPr>
            <w:tcW w:type="dxa" w:w="3293"/>
            <w:vAlign w:val="center"/>
            <w:shd w:fill="E5E9EF"/>
          </w:tcPr>
          <w:p>
            <w:pPr>
              <w:spacing w:after="20" w:before="20"/>
            </w:pPr>
            <w:r>
              <w:rPr>
                <w:rFonts w:ascii="Arial" w:hAnsi="Arial"/>
                <w:b/>
                <w:color w:val="1E2733"/>
                <w:sz w:val="16"/>
              </w:rPr>
              <w:t>Ads with count</w:t>
            </w:r>
          </w:p>
        </w:tc>
        <w:tc>
          <w:tcPr>
            <w:tcW w:type="dxa" w:w="3293"/>
            <w:vAlign w:val="center"/>
            <w:shd w:fill="E5E9EF"/>
          </w:tcPr>
          <w:p>
            <w:pPr>
              <w:spacing w:after="20" w:before="20"/>
            </w:pPr>
            <w:r>
              <w:rPr>
                <w:rFonts w:ascii="Arial" w:hAnsi="Arial"/>
                <w:b/>
                <w:color w:val="1E2733"/>
                <w:sz w:val="16"/>
              </w:rPr>
              <w:t>Median monthly ask</w:t>
            </w:r>
          </w:p>
        </w:tc>
      </w:tr>
      <w:tr>
        <w:tc>
          <w:tcPr>
            <w:tcW w:type="dxa" w:w="3293"/>
            <w:vAlign w:val="center"/>
          </w:tcPr>
          <w:p>
            <w:pPr>
              <w:spacing w:after="20" w:before="20"/>
            </w:pPr>
            <w:r>
              <w:rPr>
                <w:rFonts w:ascii="Arial" w:hAnsi="Arial"/>
                <w:color w:val="1E2733"/>
                <w:sz w:val="16"/>
              </w:rPr>
              <w:t>Studio</w:t>
            </w:r>
          </w:p>
        </w:tc>
        <w:tc>
          <w:tcPr>
            <w:tcW w:type="dxa" w:w="3293"/>
            <w:vAlign w:val="center"/>
          </w:tcPr>
          <w:p>
            <w:pPr>
              <w:spacing w:after="20" w:before="20"/>
            </w:pPr>
            <w:r>
              <w:rPr>
                <w:rFonts w:ascii="Arial" w:hAnsi="Arial"/>
                <w:color w:val="1E2733"/>
                <w:sz w:val="16"/>
              </w:rPr>
              <w:t>6</w:t>
            </w:r>
          </w:p>
        </w:tc>
        <w:tc>
          <w:tcPr>
            <w:tcW w:type="dxa" w:w="3293"/>
            <w:vAlign w:val="center"/>
          </w:tcPr>
          <w:p>
            <w:pPr>
              <w:spacing w:after="20" w:before="20"/>
            </w:pPr>
            <w:r>
              <w:rPr>
                <w:rFonts w:ascii="Arial" w:hAnsi="Arial"/>
                <w:color w:val="1E2733"/>
                <w:sz w:val="16"/>
              </w:rPr>
              <w:t>$876</w:t>
            </w:r>
          </w:p>
        </w:tc>
      </w:tr>
      <w:tr>
        <w:tc>
          <w:tcPr>
            <w:tcW w:type="dxa" w:w="3293"/>
            <w:vAlign w:val="center"/>
          </w:tcPr>
          <w:p>
            <w:pPr>
              <w:spacing w:after="20" w:before="20"/>
            </w:pPr>
            <w:r>
              <w:rPr>
                <w:rFonts w:ascii="Arial" w:hAnsi="Arial"/>
                <w:color w:val="1E2733"/>
                <w:sz w:val="16"/>
              </w:rPr>
              <w:t>1 bedroom</w:t>
            </w:r>
          </w:p>
        </w:tc>
        <w:tc>
          <w:tcPr>
            <w:tcW w:type="dxa" w:w="3293"/>
            <w:vAlign w:val="center"/>
          </w:tcPr>
          <w:p>
            <w:pPr>
              <w:spacing w:after="20" w:before="20"/>
            </w:pPr>
            <w:r>
              <w:rPr>
                <w:rFonts w:ascii="Arial" w:hAnsi="Arial"/>
                <w:color w:val="1E2733"/>
                <w:sz w:val="16"/>
              </w:rPr>
              <w:t>72</w:t>
            </w:r>
          </w:p>
        </w:tc>
        <w:tc>
          <w:tcPr>
            <w:tcW w:type="dxa" w:w="3293"/>
            <w:vAlign w:val="center"/>
          </w:tcPr>
          <w:p>
            <w:pPr>
              <w:spacing w:after="20" w:before="20"/>
            </w:pPr>
            <w:r>
              <w:rPr>
                <w:rFonts w:ascii="Arial" w:hAnsi="Arial"/>
                <w:color w:val="1E2733"/>
                <w:sz w:val="16"/>
              </w:rPr>
              <w:t>$1,054</w:t>
            </w:r>
          </w:p>
        </w:tc>
      </w:tr>
      <w:tr>
        <w:tc>
          <w:tcPr>
            <w:tcW w:type="dxa" w:w="3293"/>
            <w:vAlign w:val="center"/>
          </w:tcPr>
          <w:p>
            <w:pPr>
              <w:spacing w:after="20" w:before="20"/>
            </w:pPr>
            <w:r>
              <w:rPr>
                <w:rFonts w:ascii="Arial" w:hAnsi="Arial"/>
                <w:color w:val="1E2733"/>
                <w:sz w:val="16"/>
              </w:rPr>
              <w:t>2 bedrooms</w:t>
            </w:r>
          </w:p>
        </w:tc>
        <w:tc>
          <w:tcPr>
            <w:tcW w:type="dxa" w:w="3293"/>
            <w:vAlign w:val="center"/>
          </w:tcPr>
          <w:p>
            <w:pPr>
              <w:spacing w:after="20" w:before="20"/>
            </w:pPr>
            <w:r>
              <w:rPr>
                <w:rFonts w:ascii="Arial" w:hAnsi="Arial"/>
                <w:color w:val="1E2733"/>
                <w:sz w:val="16"/>
              </w:rPr>
              <w:t>85</w:t>
            </w:r>
          </w:p>
        </w:tc>
        <w:tc>
          <w:tcPr>
            <w:tcW w:type="dxa" w:w="3293"/>
            <w:vAlign w:val="center"/>
          </w:tcPr>
          <w:p>
            <w:pPr>
              <w:spacing w:after="20" w:before="20"/>
            </w:pPr>
            <w:r>
              <w:rPr>
                <w:rFonts w:ascii="Arial" w:hAnsi="Arial"/>
                <w:color w:val="1E2733"/>
                <w:sz w:val="16"/>
              </w:rPr>
              <w:t>$1,248</w:t>
            </w:r>
          </w:p>
        </w:tc>
      </w:tr>
      <w:tr>
        <w:tc>
          <w:tcPr>
            <w:tcW w:type="dxa" w:w="3293"/>
            <w:vAlign w:val="center"/>
          </w:tcPr>
          <w:p>
            <w:pPr>
              <w:spacing w:after="20" w:before="20"/>
            </w:pPr>
            <w:r>
              <w:rPr>
                <w:rFonts w:ascii="Arial" w:hAnsi="Arial"/>
                <w:color w:val="1E2733"/>
                <w:sz w:val="16"/>
              </w:rPr>
              <w:t>3 bedrooms</w:t>
            </w:r>
          </w:p>
        </w:tc>
        <w:tc>
          <w:tcPr>
            <w:tcW w:type="dxa" w:w="3293"/>
            <w:vAlign w:val="center"/>
          </w:tcPr>
          <w:p>
            <w:pPr>
              <w:spacing w:after="20" w:before="20"/>
            </w:pPr>
            <w:r>
              <w:rPr>
                <w:rFonts w:ascii="Arial" w:hAnsi="Arial"/>
                <w:color w:val="1E2733"/>
                <w:sz w:val="16"/>
              </w:rPr>
              <w:t>25</w:t>
            </w:r>
          </w:p>
        </w:tc>
        <w:tc>
          <w:tcPr>
            <w:tcW w:type="dxa" w:w="3293"/>
            <w:vAlign w:val="center"/>
          </w:tcPr>
          <w:p>
            <w:pPr>
              <w:spacing w:after="20" w:before="20"/>
            </w:pPr>
            <w:r>
              <w:rPr>
                <w:rFonts w:ascii="Arial" w:hAnsi="Arial"/>
                <w:color w:val="1E2733"/>
                <w:sz w:val="16"/>
              </w:rPr>
              <w:t>$1,600</w:t>
            </w:r>
          </w:p>
        </w:tc>
      </w:tr>
      <w:tr>
        <w:tc>
          <w:tcPr>
            <w:tcW w:type="dxa" w:w="3293"/>
            <w:vAlign w:val="center"/>
          </w:tcPr>
          <w:p>
            <w:pPr>
              <w:spacing w:after="20" w:before="20"/>
            </w:pPr>
            <w:r>
              <w:rPr>
                <w:rFonts w:ascii="Arial" w:hAnsi="Arial"/>
                <w:color w:val="1E2733"/>
                <w:sz w:val="16"/>
              </w:rPr>
              <w:t>4 bedrooms</w:t>
            </w:r>
          </w:p>
        </w:tc>
        <w:tc>
          <w:tcPr>
            <w:tcW w:type="dxa" w:w="3293"/>
            <w:vAlign w:val="center"/>
          </w:tcPr>
          <w:p>
            <w:pPr>
              <w:spacing w:after="20" w:before="20"/>
            </w:pPr>
            <w:r>
              <w:rPr>
                <w:rFonts w:ascii="Arial" w:hAnsi="Arial"/>
                <w:color w:val="1E2733"/>
                <w:sz w:val="16"/>
              </w:rPr>
              <w:t>1</w:t>
            </w:r>
          </w:p>
        </w:tc>
        <w:tc>
          <w:tcPr>
            <w:tcW w:type="dxa" w:w="3293"/>
            <w:vAlign w:val="center"/>
          </w:tcPr>
          <w:p>
            <w:pPr>
              <w:spacing w:after="20" w:before="20"/>
            </w:pPr>
            <w:r>
              <w:rPr>
                <w:rFonts w:ascii="Arial" w:hAnsi="Arial"/>
                <w:color w:val="1E2733"/>
                <w:sz w:val="16"/>
              </w:rPr>
              <w:t>$1,250 — thin sample</w:t>
            </w:r>
          </w:p>
        </w:tc>
      </w:tr>
    </w:tbl>
    <w:p>
      <w:pPr>
        <w:pStyle w:val="Heading1"/>
      </w:pPr>
      <w:r>
        <w:t>A market divided by place and product</w:t>
      </w:r>
    </w:p>
    <w:p>
      <w:r>
        <w:t>Rio Rancho and Sandoval County accounted for 51 conventional advertisements, with a median asking rent of $1,250. The 30 listings identified specifically as Albuquerque NE had a median of about $1,133; 13 in Los Ranchos clustered at $1,141. Three new-construction advertisements in Mesa del Sol had a median of $1,740. These are not like-for-like comparisons: floorplans, senior-housing eligibility, included amenities and advertiser concentration differ sharply across areas.</w:t>
      </w:r>
    </w:p>
    <w:p>
      <w:pPr>
        <w:pStyle w:val="Heading1"/>
      </w:pPr>
      <w:r>
        <w:t>Promotions, deposits and time on the board</w:t>
      </w:r>
    </w:p>
    <w:p>
      <w:r>
        <w:t>Landlords are competing with incentives as well as headline prices. Current advertisements mention up to six weeks of free rent, move-in specials, a discounted $950 base rent, and credits of $100 against the first two months. Pet-friendly policies, washer/dryers, pools and fitness centres recur in headlines and sampled detail pages. The effective cost of a lease may therefore be lower—or, once mandatory fees are added, higher—than the price in a Craigslist search result.</w:t>
      </w:r>
    </w:p>
    <w:p>
      <w:r>
        <w:t>Security deposits and original posting ages remain the weakest fields. Individual advertisements were opened for 29 of the 359 results; 26 original dates and ten numerical deposits could be verified. That is too small and too selective a subset to estimate a market-wide average deposit or median days advertised. Some posts show contradictory terms: one extended-stay advertisement says “no deposit” but mentions $150 at check-in. An advertisement in Moriarty mistakenly displays $150,000 even though its text asks $1,500 a month; it was excluded from the metro statistics.</w:t>
      </w:r>
    </w:p>
    <w:p>
      <w:pPr>
        <w:pStyle w:val="Heading1"/>
      </w:pPr>
      <w:r>
        <w:t>What to watch next</w:t>
      </w:r>
    </w:p>
    <w:p>
      <w:r>
        <w:t>For investors and property managers, the useful test is whether rents on the same communities and floorplans keep falling after concessions are adjusted for. Track repeat advertisements, days since the original post and price changes at the same address. Until that evidence accumulates, Craigslist is best read as a gauge of marketing pressure, not as an official measure of vacancy, effective rent or completed leasing transactions.</w:t>
      </w:r>
    </w:p>
    <w:p>
      <w:pPr>
        <w:spacing w:before="160"/>
      </w:pPr>
      <w:r>
        <w:rPr>
          <w:rFonts w:ascii="Arial" w:hAnsi="Arial"/>
          <w:color w:val="5D636D"/>
          <w:sz w:val="14"/>
        </w:rPr>
        <w:t>Method and sources: Albuquerque Craigslist apartments/housing search, accessed 17 October 2026; compared with the 10 October inventory. All 359 search-result ads recorded individually; 29 detail pages spot-checked. Excludes 50 weekly ads, 11 monthly extended stays, eight $0 placeholders, four outer-market ads and one commercial ad from conventional-rent statistics.</w:t>
      </w:r>
    </w:p>
    <w:p>
      <w:r>
        <w:rPr>
          <w:rFonts w:ascii="Arial" w:hAnsi="Arial"/>
          <w:color w:val="5D636D"/>
          <w:sz w:val="14"/>
        </w:rPr>
        <w:t>Source: https://www.craigslist.org/search/area/albuquerque?cat=apa  •  Individual post links and field-level evidence are in the accompanying Excel inventory.</w:t>
      </w:r>
    </w:p>
    <w:sectPr w:rsidR="00FC693F" w:rsidRPr="0006063C" w:rsidSect="00034616">
      <w:headerReference w:type="default" r:id="rId9"/>
      <w:footerReference w:type="default" r:id="rId10"/>
      <w:pgSz w:w="12240" w:h="15840"/>
      <w:pgMar w:top="936" w:right="1181" w:bottom="893" w:left="1181"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787D82"/>
        <w:sz w:val="15"/>
      </w:rPr>
      <w:t>CRAIGSLIST ASKING-RENT SNAPSHOT  •  17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6E737A"/>
        <w:sz w:val="15"/>
      </w:rPr>
      <w:t>RENTAL MARKET MONITOR  /  ALBUQUERQUE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6" w:lineRule="auto"/>
    </w:pPr>
    <w:rPr>
      <w:rFonts w:ascii="Georgia" w:hAnsi="Georgia"/>
      <w:color w:val="21283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Georgia" w:hAnsi="Georgia"/>
      <w:b/>
      <w:bCs/>
      <w:color w:val="182332"/>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contextualSpacing/>
    </w:pPr>
    <w:rPr>
      <w:rFonts w:asciiTheme="majorHAnsi" w:eastAsiaTheme="majorEastAsia" w:hAnsiTheme="majorHAnsi" w:cstheme="majorBidi" w:ascii="Georgia" w:hAnsi="Georgia"/>
      <w:b/>
      <w:color w:val="182332"/>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