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MARKET SNAPSHOT  /  10 OCTOBER 2026</w:t>
      </w:r>
    </w:p>
    <w:p>
      <w:pPr>
        <w:pStyle w:val="Title"/>
      </w:pPr>
      <w:r>
        <w:t>A crowded noticeboard, not a housing boom</w:t>
      </w:r>
    </w:p>
    <w:p>
      <w:pPr>
        <w:pStyle w:val="Deck"/>
      </w:pPr>
      <w:r>
        <w:t>Albuquerque’s Craigslist rental advertisements are shifting toward ordinary monthly leases. But repeated promotions, weekly rooms and selective discounts make the market look more volatile than the rents themselves.</w:t>
      </w:r>
    </w:p>
    <w:p>
      <w:r>
        <w:t>A week can make a large difference to the number of advertisements without making much difference to the price of an apartment. On October 10 the Albuquerque-area Craigslist search displayed 351 rental-related ads, eight fewer than a week earlier. Yet the number of priced, conventional monthly ads rose from 253 to 289, after excluding identifiable extended-stay promotions from both weeks. This is a change in the mix of marketing—not evidence that 36 additional homes have become vacant.</w:t>
      </w:r>
    </w:p>
    <w:p>
      <w:pPr>
        <w:pStyle w:val="Heading1"/>
      </w:pPr>
      <w:r>
        <w:t>The numbers behind the notices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trHeight w:val="331"/>
        </w:trPr>
        <w:tc>
          <w:tcPr>
            <w:tcW w:type="dxa" w:w="4536"/>
            <w:shd w:fill="1D415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Indicator</w:t>
            </w:r>
          </w:p>
        </w:tc>
        <w:tc>
          <w:tcPr>
            <w:tcW w:type="dxa" w:w="1555"/>
            <w:shd w:fill="1D415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Oct 3</w:t>
            </w:r>
          </w:p>
        </w:tc>
        <w:tc>
          <w:tcPr>
            <w:tcW w:type="dxa" w:w="1555"/>
            <w:shd w:fill="1D415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Oct 10</w:t>
            </w:r>
          </w:p>
        </w:tc>
        <w:tc>
          <w:tcPr>
            <w:tcW w:type="dxa" w:w="1440"/>
            <w:shd w:fill="1D415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Change</w:t>
            </w:r>
          </w:p>
        </w:tc>
      </w:tr>
      <w:tr>
        <w:trPr>
          <w:trHeight w:val="331"/>
        </w:trPr>
        <w:tc>
          <w:tcPr>
            <w:tcW w:type="dxa" w:w="4536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1E3948"/>
                <w:sz w:val="16"/>
              </w:rPr>
              <w:t>All search-result advertisements</w:t>
            </w:r>
          </w:p>
        </w:tc>
        <w:tc>
          <w:tcPr>
            <w:tcW w:type="dxa" w:w="1555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359</w:t>
            </w:r>
          </w:p>
        </w:tc>
        <w:tc>
          <w:tcPr>
            <w:tcW w:type="dxa" w:w="1555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351</w:t>
            </w:r>
          </w:p>
        </w:tc>
        <w:tc>
          <w:tcPr>
            <w:tcW w:type="dxa" w:w="1440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−2.2%</w:t>
            </w:r>
          </w:p>
        </w:tc>
      </w:tr>
      <w:tr>
        <w:trPr>
          <w:trHeight w:val="331"/>
        </w:trPr>
        <w:tc>
          <w:tcPr>
            <w:tcW w:type="dxa" w:w="453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1E3948"/>
                <w:sz w:val="16"/>
              </w:rPr>
              <w:t>Priced conventional monthly ads</w:t>
            </w:r>
          </w:p>
        </w:tc>
        <w:tc>
          <w:tcPr>
            <w:tcW w:type="dxa" w:w="155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253</w:t>
            </w:r>
          </w:p>
        </w:tc>
        <w:tc>
          <w:tcPr>
            <w:tcW w:type="dxa" w:w="155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289</w:t>
            </w:r>
          </w:p>
        </w:tc>
        <w:tc>
          <w:tcPr>
            <w:tcW w:type="dxa" w:w="1440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+14.2%</w:t>
            </w:r>
          </w:p>
        </w:tc>
      </w:tr>
      <w:tr>
        <w:trPr>
          <w:trHeight w:val="331"/>
        </w:trPr>
        <w:tc>
          <w:tcPr>
            <w:tcW w:type="dxa" w:w="4536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1E3948"/>
                <w:sz w:val="16"/>
              </w:rPr>
              <w:t>Median conventional asking rent</w:t>
            </w:r>
          </w:p>
        </w:tc>
        <w:tc>
          <w:tcPr>
            <w:tcW w:type="dxa" w:w="1555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$1,245</w:t>
            </w:r>
          </w:p>
        </w:tc>
        <w:tc>
          <w:tcPr>
            <w:tcW w:type="dxa" w:w="1555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$1,250</w:t>
            </w:r>
          </w:p>
        </w:tc>
        <w:tc>
          <w:tcPr>
            <w:tcW w:type="dxa" w:w="1440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+0.4%</w:t>
            </w:r>
          </w:p>
        </w:tc>
      </w:tr>
      <w:tr>
        <w:trPr>
          <w:trHeight w:val="331"/>
        </w:trPr>
        <w:tc>
          <w:tcPr>
            <w:tcW w:type="dxa" w:w="453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1E3948"/>
                <w:sz w:val="16"/>
              </w:rPr>
              <w:t>Average conventional asking rent</w:t>
            </w:r>
          </w:p>
        </w:tc>
        <w:tc>
          <w:tcPr>
            <w:tcW w:type="dxa" w:w="155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$1,311</w:t>
            </w:r>
          </w:p>
        </w:tc>
        <w:tc>
          <w:tcPr>
            <w:tcW w:type="dxa" w:w="155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$1,299</w:t>
            </w:r>
          </w:p>
        </w:tc>
        <w:tc>
          <w:tcPr>
            <w:tcW w:type="dxa" w:w="1440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−0.9%</w:t>
            </w:r>
          </w:p>
        </w:tc>
      </w:tr>
      <w:tr>
        <w:trPr>
          <w:trHeight w:val="331"/>
        </w:trPr>
        <w:tc>
          <w:tcPr>
            <w:tcW w:type="dxa" w:w="4536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1E3948"/>
                <w:sz w:val="16"/>
              </w:rPr>
              <w:t>Weekly / flexible-stay ads</w:t>
            </w:r>
          </w:p>
        </w:tc>
        <w:tc>
          <w:tcPr>
            <w:tcW w:type="dxa" w:w="1555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100</w:t>
            </w:r>
          </w:p>
        </w:tc>
        <w:tc>
          <w:tcPr>
            <w:tcW w:type="dxa" w:w="1555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44</w:t>
            </w:r>
          </w:p>
        </w:tc>
        <w:tc>
          <w:tcPr>
            <w:tcW w:type="dxa" w:w="1440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−56%</w:t>
            </w:r>
          </w:p>
        </w:tc>
      </w:tr>
      <w:tr>
        <w:trPr>
          <w:trHeight w:val="331"/>
        </w:trPr>
        <w:tc>
          <w:tcPr>
            <w:tcW w:type="dxa" w:w="453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1E3948"/>
                <w:sz w:val="16"/>
              </w:rPr>
              <w:t>Flexible-stay monthly ads</w:t>
            </w:r>
          </w:p>
        </w:tc>
        <w:tc>
          <w:tcPr>
            <w:tcW w:type="dxa" w:w="155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5</w:t>
            </w:r>
          </w:p>
        </w:tc>
        <w:tc>
          <w:tcPr>
            <w:tcW w:type="dxa" w:w="155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10</w:t>
            </w:r>
          </w:p>
        </w:tc>
        <w:tc>
          <w:tcPr>
            <w:tcW w:type="dxa" w:w="1440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+5 ads</w:t>
            </w:r>
          </w:p>
        </w:tc>
      </w:tr>
    </w:tbl>
    <w:p>
      <w:pPr>
        <w:pStyle w:val="SmallNote"/>
      </w:pPr>
      <w:r>
        <w:t>Note: Counts are advertisements, not distinct properties or vacant units. October 3 figures have been reclassified for a comparable conventional-rental series.</w:t>
      </w:r>
    </w:p>
    <w:p>
      <w:pPr>
        <w:pStyle w:val="Heading1"/>
      </w:pPr>
      <w:r>
        <w:t>The vanishing weekly room</w:t>
      </w:r>
    </w:p>
    <w:p>
      <w:r>
        <w:t>The most striking weekly movement was in flexible-stay advertising. Weekly-rate postings fell from 100 to 44; another ten current ads quoted monthly prices for extended-stay accommodation. A $415 weekly furnished room, for instance, is roughly $1,798 on a 52-weeks-divided-by-12 basis, before any tax or ancillary charges. It should not be counted as a $415 apartment. Removing these ads produces a much more meaningful conventional-rent comparison.</w:t>
      </w:r>
    </w:p>
    <w:p>
      <w:r>
        <w:t>Even then, a listing is not necessarily a dwelling. One apartment community, Q @ Bosque Trail, accounted for 31 current advertisements, including 23 quoting $1,565. Across the search page, 43 ads repeated another ad’s exact title and price. Counting each as an independent unit can give a large advertiser disproportionate influence over the headline market average.</w:t>
      </w:r>
    </w:p>
    <w:p>
      <w:r>
        <w:br w:type="page"/>
      </w:r>
    </w:p>
    <w:p>
      <w:pPr>
        <w:pStyle w:val="Kicker"/>
      </w:pPr>
      <w:r>
        <w:t>RENT LEVELS  /  COMPOSITION &amp; CONCESSIONS</w:t>
      </w:r>
    </w:p>
    <w:p>
      <w:pPr>
        <w:pStyle w:val="Title"/>
      </w:pPr>
      <w:r>
        <w:t>A steady median, a promotional market</w:t>
      </w:r>
    </w:p>
    <w:p>
      <w:r>
        <w:t>The conventional asking-rent median edged up by just $5 to $1,250; the average fell by about $12 to $1,299. The divergence points to a changing mixture of unit sizes, locations and advertising intensity, rather than a decisive change in market-clearing rents. Removing exact repeats of title and price within the current conventional sample lowers the median from $1,250 to $1,218. That sensitivity is a warning against treating Craigslist as a vacancy census.</w:t>
      </w:r>
    </w:p>
    <w:p>
      <w:pPr>
        <w:pStyle w:val="Heading1"/>
      </w:pPr>
      <w:r>
        <w:t>The price of a bedroom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trHeight w:val="331"/>
        </w:trPr>
        <w:tc>
          <w:tcPr>
            <w:tcW w:type="dxa" w:w="2952"/>
            <w:shd w:fill="1D415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 type</w:t>
            </w:r>
          </w:p>
        </w:tc>
        <w:tc>
          <w:tcPr>
            <w:tcW w:type="dxa" w:w="3672"/>
            <w:shd w:fill="1D415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Ads with bedrooms known</w:t>
            </w:r>
          </w:p>
        </w:tc>
        <w:tc>
          <w:tcPr>
            <w:tcW w:type="dxa" w:w="2880"/>
            <w:shd w:fill="1D415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Median monthly rent</w:t>
            </w:r>
          </w:p>
        </w:tc>
      </w:tr>
      <w:tr>
        <w:trPr>
          <w:trHeight w:val="331"/>
        </w:trPr>
        <w:tc>
          <w:tcPr>
            <w:tcW w:type="dxa" w:w="2952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1E3948"/>
                <w:sz w:val="16"/>
              </w:rPr>
              <w:t>Studio</w:t>
            </w:r>
          </w:p>
        </w:tc>
        <w:tc>
          <w:tcPr>
            <w:tcW w:type="dxa" w:w="3672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3</w:t>
            </w:r>
          </w:p>
        </w:tc>
        <w:tc>
          <w:tcPr>
            <w:tcW w:type="dxa" w:w="2880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$750</w:t>
            </w:r>
          </w:p>
        </w:tc>
      </w:tr>
      <w:tr>
        <w:trPr>
          <w:trHeight w:val="331"/>
        </w:trPr>
        <w:tc>
          <w:tcPr>
            <w:tcW w:type="dxa" w:w="2952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1E3948"/>
                <w:sz w:val="16"/>
              </w:rPr>
              <w:t>One bedroom</w:t>
            </w:r>
          </w:p>
        </w:tc>
        <w:tc>
          <w:tcPr>
            <w:tcW w:type="dxa" w:w="3672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56</w:t>
            </w:r>
          </w:p>
        </w:tc>
        <w:tc>
          <w:tcPr>
            <w:tcW w:type="dxa" w:w="2880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$999</w:t>
            </w:r>
          </w:p>
        </w:tc>
      </w:tr>
      <w:tr>
        <w:trPr>
          <w:trHeight w:val="331"/>
        </w:trPr>
        <w:tc>
          <w:tcPr>
            <w:tcW w:type="dxa" w:w="2952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1E3948"/>
                <w:sz w:val="16"/>
              </w:rPr>
              <w:t>Two bedrooms</w:t>
            </w:r>
          </w:p>
        </w:tc>
        <w:tc>
          <w:tcPr>
            <w:tcW w:type="dxa" w:w="3672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92</w:t>
            </w:r>
          </w:p>
        </w:tc>
        <w:tc>
          <w:tcPr>
            <w:tcW w:type="dxa" w:w="2880"/>
            <w:shd w:fill="F0F5F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$1,332</w:t>
            </w:r>
          </w:p>
        </w:tc>
      </w:tr>
      <w:tr>
        <w:trPr>
          <w:trHeight w:val="331"/>
        </w:trPr>
        <w:tc>
          <w:tcPr>
            <w:tcW w:type="dxa" w:w="2952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1E3948"/>
                <w:sz w:val="16"/>
              </w:rPr>
              <w:t>Three bedrooms</w:t>
            </w:r>
          </w:p>
        </w:tc>
        <w:tc>
          <w:tcPr>
            <w:tcW w:type="dxa" w:w="3672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22</w:t>
            </w:r>
          </w:p>
        </w:tc>
        <w:tc>
          <w:tcPr>
            <w:tcW w:type="dxa" w:w="2880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E3948"/>
                <w:sz w:val="16"/>
              </w:rPr>
              <w:t>$1,506</w:t>
            </w:r>
          </w:p>
        </w:tc>
      </w:tr>
    </w:tbl>
    <w:p>
      <w:pPr>
        <w:pStyle w:val="SmallNote"/>
      </w:pPr>
      <w:r>
        <w:t>Bedroom figures cover 173 of 289 conventional monthly ads; 116 do not disclose a reliable count in the available search data. Studios in particular are too scarce for a robust benchmark.</w:t>
      </w:r>
    </w:p>
    <w:p>
      <w:pPr>
        <w:pStyle w:val="Heading1"/>
      </w:pPr>
      <w:r>
        <w:t>Concessions are doing the heavy lifting</w:t>
      </w:r>
    </w:p>
    <w:p>
      <w:r>
        <w:t>Price cuts are not the only way to attract tenants. Eighteen current ads explicitly advertise up to six weeks of free rent; others promote a $500 move-in discount, first-month specials, or bundled Wi-Fi and utilities. Such offers can lower a tenant’s effective cost without changing the quoted asking rent. At Wyoming Place, a headline promises “Rent $899” while the search price is $999—an example of why headline, advertised and payable rent should be checked separately.</w:t>
      </w:r>
    </w:p>
    <w:p>
      <w:pPr>
        <w:pStyle w:val="Heading1"/>
      </w:pPr>
      <w:r>
        <w:t>Geography—and what the data cannot show</w:t>
      </w:r>
    </w:p>
    <w:p>
      <w:r>
        <w:t>The median conventional asking rent in Rio Rancho was $1,271 across 48 ads, compared with $1,195 across 238 Albuquerque and Los Ranchos ads. That $76 gap is not quality-adjusted: different unit sizes, senior or income restrictions, new construction and the concentration of advertising can all distort the comparison. Mesa del Sol’s newer offerings occupy a different price tier, but too few observations support a reliable submarket index.</w:t>
      </w:r>
    </w:p>
    <w:p>
      <w:r>
        <w:t>Original posting dates were individually verified for only 24 of 351 ads, and numeric security deposits for seven. Those small, non-random subsets cannot support a market-wide “days listed” or deposit estimate. Sixty-six current ads share the same title and price as an ad in the October 3 capture; this indicates repeated advertising, not necessarily an unchanged Craigslist post ID.</w:t>
      </w:r>
    </w:p>
    <w:p>
      <w:pPr>
        <w:pStyle w:val="SmallNote"/>
      </w:pPr>
      <w:r>
        <w:t>Method: live Craigslist Albuquerque apartment/housing search, captured October 10, 2026, compared with the October 3 workbook. Weekly and flexible-stay rates, $0 quote-required ads and a commercial listing are excluded from conventional-rent statistics. Asking rents may omit variable fees, taxes and utilities; eligibility and availability require confirmation. Detailed posting-level evidence and source links are in the accompanying Excel workbook.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893" w:left="1152" w:header="403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E7882"/>
        <w:sz w:val="14"/>
      </w:rPr>
      <w:t xml:space="preserve">ALBUQUERQUE  •  OCTOBER 10, 2026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828B93"/>
        <w:sz w:val="15"/>
      </w:rPr>
      <w:t>RENTAL-MARKET INTELLIGENCE   |   NEW MEXICO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Georgia" w:hAnsi="Georgia"/>
      <w:color w:val="2831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1A425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A425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62C3B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Note"/>
    <w:rPr>
      <w:rFonts w:ascii="Arial" w:hAnsi="Arial"/>
      <w:color w:val="59666E"/>
      <w:sz w:val="14"/>
    </w:rPr>
  </w:style>
  <w:style w:type="paragraph" w:customStyle="1" w:styleId="Deck">
    <w:name w:val="Deck"/>
    <w:rPr>
      <w:rFonts w:ascii="Georgia" w:hAnsi="Georgia"/>
      <w:i/>
      <w:color w:val="3C464C"/>
      <w:sz w:val="22"/>
    </w:rPr>
  </w:style>
  <w:style w:type="paragraph" w:customStyle="1" w:styleId="Kicker">
    <w:name w:val="Kicker"/>
    <w:rPr>
      <w:rFonts w:ascii="Arial" w:hAnsi="Arial"/>
      <w:b/>
      <w:color w:val="A82425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